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7" w:type="dxa"/>
        <w:tblInd w:w="-318" w:type="dxa"/>
        <w:tblLayout w:type="autofit"/>
        <w:tblCellMar>
          <w:top w:w="0" w:type="dxa"/>
          <w:left w:w="108" w:type="dxa"/>
          <w:bottom w:w="0" w:type="dxa"/>
          <w:right w:w="108" w:type="dxa"/>
        </w:tblCellMar>
      </w:tblPr>
      <w:tblGrid>
        <w:gridCol w:w="4395"/>
        <w:gridCol w:w="5812"/>
      </w:tblGrid>
      <w:tr w14:paraId="09EBEF06">
        <w:tblPrEx>
          <w:tblCellMar>
            <w:top w:w="0" w:type="dxa"/>
            <w:left w:w="108" w:type="dxa"/>
            <w:bottom w:w="0" w:type="dxa"/>
            <w:right w:w="108" w:type="dxa"/>
          </w:tblCellMar>
        </w:tblPrEx>
        <w:tc>
          <w:tcPr>
            <w:tcW w:w="4395" w:type="dxa"/>
          </w:tcPr>
          <w:p w14:paraId="40E4B73C">
            <w:pPr>
              <w:ind w:left="-250" w:firstLine="142"/>
              <w:jc w:val="center"/>
              <w:rPr>
                <w:sz w:val="24"/>
                <w:szCs w:val="24"/>
                <w:lang w:val="nl-NL"/>
              </w:rPr>
            </w:pPr>
            <w:r>
              <w:rPr>
                <w:sz w:val="24"/>
                <w:szCs w:val="24"/>
                <w:lang w:val="nl-NL"/>
              </w:rPr>
              <w:t>UBND HUYỆN TIÊN YÊN</w:t>
            </w:r>
          </w:p>
        </w:tc>
        <w:tc>
          <w:tcPr>
            <w:tcW w:w="5812" w:type="dxa"/>
          </w:tcPr>
          <w:p w14:paraId="215661A0">
            <w:pPr>
              <w:rPr>
                <w:b/>
                <w:sz w:val="24"/>
                <w:szCs w:val="24"/>
                <w:lang w:val="nl-NL"/>
              </w:rPr>
            </w:pPr>
            <w:r>
              <w:rPr>
                <w:b/>
                <w:sz w:val="24"/>
                <w:szCs w:val="24"/>
                <w:lang w:val="nl-NL"/>
              </w:rPr>
              <w:t>CỘNG HOÀ XÃ HỘI CHỦ NGHĨA VIỆT NAM</w:t>
            </w:r>
          </w:p>
        </w:tc>
      </w:tr>
      <w:tr w14:paraId="2E959C93">
        <w:tblPrEx>
          <w:tblCellMar>
            <w:top w:w="0" w:type="dxa"/>
            <w:left w:w="108" w:type="dxa"/>
            <w:bottom w:w="0" w:type="dxa"/>
            <w:right w:w="108" w:type="dxa"/>
          </w:tblCellMar>
        </w:tblPrEx>
        <w:trPr>
          <w:trHeight w:val="596" w:hRule="atLeast"/>
        </w:trPr>
        <w:tc>
          <w:tcPr>
            <w:tcW w:w="4395" w:type="dxa"/>
          </w:tcPr>
          <w:p w14:paraId="3B3D7FFD">
            <w:pPr>
              <w:ind w:left="-108"/>
              <w:jc w:val="center"/>
              <w:rPr>
                <w:b/>
                <w:bCs/>
                <w:sz w:val="24"/>
                <w:szCs w:val="24"/>
                <w:lang w:val="nl-NL"/>
              </w:rPr>
            </w:pPr>
            <w:r>
              <w:rPr>
                <w:b/>
                <w:bCs/>
                <w:sz w:val="24"/>
                <w:szCs w:val="24"/>
                <w:lang w:val="nl-NL"/>
              </w:rPr>
              <w:t xml:space="preserve">TRƯỜNG TIỂU HỌC ĐÔNG NGŨ </w:t>
            </w:r>
          </w:p>
        </w:tc>
        <w:tc>
          <w:tcPr>
            <w:tcW w:w="5812" w:type="dxa"/>
          </w:tcPr>
          <w:p w14:paraId="4163D956">
            <w:pPr>
              <w:jc w:val="center"/>
              <w:rPr>
                <w:b/>
                <w:bCs/>
                <w:sz w:val="24"/>
                <w:szCs w:val="24"/>
                <w:u w:val="single"/>
                <w:lang w:val="nl-NL"/>
              </w:rPr>
            </w:pPr>
            <w:r>
              <w:rPr>
                <w:b/>
                <w:bCs/>
                <w:sz w:val="24"/>
                <w:szCs w:val="24"/>
                <w:u w:val="single"/>
                <w:lang w:val="nl-NL"/>
              </w:rPr>
              <w:t>Độc lập - Tự do - Hạnh phúc</w:t>
            </w:r>
          </w:p>
        </w:tc>
      </w:tr>
      <w:tr w14:paraId="3B4CCC81">
        <w:tblPrEx>
          <w:tblCellMar>
            <w:top w:w="0" w:type="dxa"/>
            <w:left w:w="108" w:type="dxa"/>
            <w:bottom w:w="0" w:type="dxa"/>
            <w:right w:w="108" w:type="dxa"/>
          </w:tblCellMar>
        </w:tblPrEx>
        <w:tc>
          <w:tcPr>
            <w:tcW w:w="4395" w:type="dxa"/>
          </w:tcPr>
          <w:p w14:paraId="3CA46F32">
            <w:pPr>
              <w:jc w:val="center"/>
              <w:rPr>
                <w:i/>
                <w:iCs/>
                <w:sz w:val="24"/>
                <w:szCs w:val="24"/>
              </w:rPr>
            </w:pPr>
            <w:r>
              <w:rPr>
                <w:i/>
                <w:iCs/>
                <w:sz w:val="24"/>
                <w:szCs w:val="24"/>
                <w:lang w:val="nl-NL"/>
              </w:rPr>
              <w:t xml:space="preserve">Số </w:t>
            </w:r>
            <w:r>
              <w:rPr>
                <w:rFonts w:hint="default"/>
                <w:i/>
                <w:iCs/>
                <w:sz w:val="24"/>
                <w:szCs w:val="24"/>
                <w:lang w:val="vi-VN"/>
              </w:rPr>
              <w:t>21</w:t>
            </w:r>
            <w:r>
              <w:rPr>
                <w:i/>
                <w:iCs/>
                <w:sz w:val="24"/>
                <w:szCs w:val="24"/>
                <w:lang w:val="nl-NL"/>
              </w:rPr>
              <w:t xml:space="preserve">/QĐ- </w:t>
            </w:r>
            <w:r>
              <w:rPr>
                <w:i/>
                <w:iCs/>
                <w:sz w:val="24"/>
                <w:szCs w:val="24"/>
              </w:rPr>
              <w:t>THĐN</w:t>
            </w:r>
          </w:p>
          <w:p w14:paraId="0B4AA90F">
            <w:pPr>
              <w:jc w:val="center"/>
              <w:rPr>
                <w:sz w:val="24"/>
                <w:szCs w:val="24"/>
                <w:lang w:val="nl-NL"/>
              </w:rPr>
            </w:pPr>
          </w:p>
        </w:tc>
        <w:tc>
          <w:tcPr>
            <w:tcW w:w="5812" w:type="dxa"/>
          </w:tcPr>
          <w:p w14:paraId="4A445A66">
            <w:pPr>
              <w:jc w:val="center"/>
              <w:rPr>
                <w:i/>
                <w:iCs/>
                <w:lang w:val="nl-NL"/>
              </w:rPr>
            </w:pPr>
            <w:r>
              <w:rPr>
                <w:i/>
                <w:iCs/>
                <w:lang w:val="nl-NL"/>
              </w:rPr>
              <w:t xml:space="preserve">Đông Ngũ, ngày </w:t>
            </w:r>
            <w:r>
              <w:rPr>
                <w:rFonts w:hint="default"/>
                <w:i/>
                <w:iCs/>
                <w:lang w:val="vi-VN"/>
              </w:rPr>
              <w:t>08</w:t>
            </w:r>
            <w:r>
              <w:rPr>
                <w:i/>
                <w:iCs/>
                <w:lang w:val="nl-NL"/>
              </w:rPr>
              <w:t xml:space="preserve"> tháng 0</w:t>
            </w:r>
            <w:r>
              <w:rPr>
                <w:rFonts w:hint="default"/>
                <w:i/>
                <w:iCs/>
                <w:lang w:val="en-US"/>
              </w:rPr>
              <w:t>1</w:t>
            </w:r>
            <w:r>
              <w:rPr>
                <w:i/>
                <w:iCs/>
                <w:lang w:val="nl-NL"/>
              </w:rPr>
              <w:t xml:space="preserve"> năm 202</w:t>
            </w:r>
            <w:r>
              <w:rPr>
                <w:rFonts w:hint="default"/>
                <w:i/>
                <w:iCs/>
                <w:lang w:val="en-US"/>
              </w:rPr>
              <w:t>5</w:t>
            </w:r>
          </w:p>
        </w:tc>
      </w:tr>
    </w:tbl>
    <w:p w14:paraId="0C4E355A">
      <w:pPr>
        <w:spacing w:line="312" w:lineRule="auto"/>
        <w:jc w:val="center"/>
        <w:rPr>
          <w:b/>
          <w:sz w:val="32"/>
          <w:szCs w:val="32"/>
          <w:lang w:val="nl-NL"/>
        </w:rPr>
      </w:pPr>
      <w:r>
        <w:rPr>
          <w:b/>
          <w:sz w:val="32"/>
          <w:szCs w:val="32"/>
          <w:lang w:val="nl-NL"/>
        </w:rPr>
        <w:t xml:space="preserve">QUYẾT ĐỊNH </w:t>
      </w:r>
    </w:p>
    <w:p w14:paraId="2F6171EC">
      <w:pPr>
        <w:jc w:val="center"/>
        <w:rPr>
          <w:b/>
          <w:sz w:val="26"/>
          <w:szCs w:val="26"/>
          <w:lang w:val="nl-NL"/>
        </w:rPr>
      </w:pPr>
      <w:r>
        <w:rPr>
          <w:b/>
          <w:sz w:val="26"/>
          <w:szCs w:val="26"/>
          <w:lang w:val="nl-NL"/>
        </w:rPr>
        <w:t>Về việc ban hành Quy chế chi tiêu nội bộ năm 202</w:t>
      </w:r>
      <w:r>
        <w:rPr>
          <w:rFonts w:hint="default"/>
          <w:b/>
          <w:sz w:val="26"/>
          <w:szCs w:val="26"/>
          <w:lang w:val="en-US"/>
        </w:rPr>
        <w:t>5</w:t>
      </w:r>
      <w:r>
        <w:rPr>
          <w:b/>
          <w:sz w:val="26"/>
          <w:szCs w:val="26"/>
          <w:lang w:val="nl-NL"/>
        </w:rPr>
        <w:t xml:space="preserve"> </w:t>
      </w:r>
    </w:p>
    <w:p w14:paraId="485C355D">
      <w:pPr>
        <w:jc w:val="center"/>
        <w:rPr>
          <w:b/>
          <w:sz w:val="26"/>
          <w:szCs w:val="26"/>
          <w:lang w:val="nl-NL"/>
        </w:rPr>
      </w:pPr>
      <w:r>
        <w:rPr>
          <w:b/>
          <w:sz w:val="26"/>
          <w:szCs w:val="26"/>
          <w:lang w:val="nl-NL"/>
        </w:rPr>
        <w:t>của trường Tiểu học Đông Ngũ  - Đơn vị sự nghiệp công lập thực hiện chế độ</w:t>
      </w:r>
    </w:p>
    <w:p w14:paraId="14780755">
      <w:pPr>
        <w:jc w:val="center"/>
        <w:rPr>
          <w:b/>
          <w:sz w:val="26"/>
          <w:szCs w:val="26"/>
          <w:lang w:val="nl-NL"/>
        </w:rPr>
      </w:pPr>
      <w:r>
        <w:rPr>
          <w:b/>
          <w:sz w:val="26"/>
          <w:szCs w:val="26"/>
          <w:lang w:val="nl-NL"/>
        </w:rPr>
        <w:t xml:space="preserve"> tự chủ tài chính theo Nghị định số 60/2021/NĐ-CP</w:t>
      </w:r>
    </w:p>
    <w:p w14:paraId="5BBDF37C">
      <w:pPr>
        <w:spacing w:line="312" w:lineRule="auto"/>
        <w:ind w:firstLine="720"/>
        <w:rPr>
          <w:b/>
          <w:sz w:val="20"/>
          <w:szCs w:val="20"/>
        </w:rPr>
      </w:pPr>
    </w:p>
    <w:p w14:paraId="2132D150">
      <w:pPr>
        <w:spacing w:line="312" w:lineRule="auto"/>
        <w:ind w:firstLine="720"/>
        <w:jc w:val="center"/>
        <w:rPr>
          <w:b/>
          <w:sz w:val="26"/>
          <w:szCs w:val="26"/>
          <w:lang w:val="nl-NL"/>
        </w:rPr>
      </w:pPr>
      <w:r>
        <w:rPr>
          <w:b/>
          <w:sz w:val="26"/>
          <w:szCs w:val="26"/>
          <w:lang w:val="vi-VN"/>
        </w:rPr>
        <w:t>HIỆU TRƯỞNG</w:t>
      </w:r>
      <w:r>
        <w:rPr>
          <w:b/>
          <w:sz w:val="26"/>
          <w:szCs w:val="26"/>
          <w:lang w:val="nl-NL"/>
        </w:rPr>
        <w:t xml:space="preserve"> TRƯỜNG TIỂU HỌC ĐÔNG NGŨ </w:t>
      </w:r>
    </w:p>
    <w:p w14:paraId="3594A7CE">
      <w:pPr>
        <w:spacing w:before="40"/>
        <w:ind w:firstLine="720"/>
        <w:jc w:val="both"/>
        <w:rPr>
          <w:sz w:val="28"/>
          <w:szCs w:val="28"/>
          <w:lang w:val="nl-NL"/>
        </w:rPr>
      </w:pPr>
      <w:r>
        <w:rPr>
          <w:sz w:val="28"/>
          <w:szCs w:val="28"/>
          <w:lang w:val="nl-NL"/>
        </w:rPr>
        <w:t>Căn cứ Nghị định số 60/2021/NĐ - CP ngày 21/6/2021 của Chính phủ Quy định cơ chế tự chủ tài chính của đơn vị sự nghiệp công lập;</w:t>
      </w:r>
    </w:p>
    <w:p w14:paraId="22F65717">
      <w:pPr>
        <w:spacing w:before="40"/>
        <w:ind w:firstLine="720"/>
        <w:jc w:val="both"/>
        <w:rPr>
          <w:sz w:val="28"/>
          <w:szCs w:val="28"/>
        </w:rPr>
      </w:pPr>
      <w:r>
        <w:rPr>
          <w:sz w:val="28"/>
          <w:szCs w:val="28"/>
        </w:rPr>
        <w:t>Căn cứ Nghị định số 11/2020/NĐ-CP ngày 20/01/2020 của Chính phủ về việc quy định về thủ tục hành chính thuộc lĩnh vực Kho bạc Nhà nước;</w:t>
      </w:r>
    </w:p>
    <w:p w14:paraId="5F77CB3F">
      <w:pPr>
        <w:ind w:right="-23" w:firstLine="720"/>
        <w:jc w:val="both"/>
        <w:rPr>
          <w:sz w:val="28"/>
          <w:szCs w:val="28"/>
        </w:rPr>
      </w:pPr>
      <w:r>
        <w:rPr>
          <w:sz w:val="28"/>
          <w:szCs w:val="28"/>
        </w:rPr>
        <w:t>Căn cứ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14:paraId="11BD0B14">
      <w:pPr>
        <w:tabs>
          <w:tab w:val="left" w:pos="0"/>
        </w:tabs>
        <w:spacing w:before="40"/>
        <w:ind w:firstLine="720"/>
        <w:jc w:val="both"/>
        <w:rPr>
          <w:rFonts w:eastAsia="Calibri" w:cs="Courier New"/>
          <w:sz w:val="28"/>
          <w:szCs w:val="28"/>
          <w:lang w:val="nl-NL"/>
        </w:rPr>
      </w:pPr>
      <w:bookmarkStart w:id="0" w:name="_Hlk167800026"/>
      <w:r>
        <w:rPr>
          <w:rFonts w:eastAsia="Calibri" w:cs="Courier New"/>
          <w:sz w:val="28"/>
          <w:szCs w:val="28"/>
          <w:lang w:val="nl-NL"/>
        </w:rPr>
        <w:t xml:space="preserve">Căn cứ Thông tư số 62/2020/TT-BTC ngày 22/6/2020 của Bộ Tài chính, hướng dẫn kiểm soát, thanh toán các khoản chi thường xuyên từ ngân sách nhà nước qua Kho bạc Nhà nước; </w:t>
      </w:r>
    </w:p>
    <w:p w14:paraId="142D4AA6">
      <w:pPr>
        <w:tabs>
          <w:tab w:val="left" w:pos="0"/>
        </w:tabs>
        <w:jc w:val="both"/>
        <w:rPr>
          <w:sz w:val="28"/>
          <w:szCs w:val="28"/>
          <w:lang w:val="nl-NL"/>
        </w:rPr>
      </w:pPr>
      <w:r>
        <w:rPr>
          <w:rFonts w:eastAsia="Calibri" w:cs="Courier New"/>
          <w:sz w:val="28"/>
          <w:szCs w:val="28"/>
          <w:lang w:val="nl-NL"/>
        </w:rPr>
        <w:tab/>
      </w:r>
      <w:r>
        <w:rPr>
          <w:rFonts w:eastAsia="Calibri" w:cs="Courier New"/>
          <w:sz w:val="28"/>
          <w:szCs w:val="28"/>
          <w:lang w:val="nl-NL"/>
        </w:rPr>
        <w:t xml:space="preserve">Căn cứ Quyết định số 5360/QĐ-UBND ngày 19 tháng 12 năm 2022 của Ủy ban nhân huyện Tiên Yên về việc giao quyền tự chủ tài chính theo Nghị định số </w:t>
      </w:r>
      <w:r>
        <w:rPr>
          <w:sz w:val="28"/>
          <w:szCs w:val="28"/>
          <w:lang w:val="nl-NL"/>
        </w:rPr>
        <w:t>60/2021/NĐ-CP ngày 21/6/2021 của Chính phủ cho các đơn vị sự nghiệp công lập cấp huyện giai đoạn 2022-2025;</w:t>
      </w:r>
    </w:p>
    <w:p w14:paraId="6B6B1F50">
      <w:pPr>
        <w:tabs>
          <w:tab w:val="left" w:pos="0"/>
        </w:tabs>
        <w:spacing w:before="40"/>
        <w:ind w:firstLine="720"/>
        <w:jc w:val="both"/>
        <w:rPr>
          <w:sz w:val="28"/>
          <w:szCs w:val="28"/>
          <w:lang w:val="nl-NL"/>
        </w:rPr>
      </w:pPr>
      <w:r>
        <w:rPr>
          <w:rFonts w:eastAsia="Calibri" w:cs="Courier New"/>
          <w:sz w:val="28"/>
          <w:szCs w:val="28"/>
          <w:lang w:val="nl-NL"/>
        </w:rPr>
        <w:t xml:space="preserve">Căn cứ Thông tư số 17/2024/TT-BTC ngày 14/3/2024 của Bộ Tài chính, hướng dẫn kiểm soát, thanh toán các khoản chi thường xuyên từ ngân sách nhà nước qua Kho bạc Nhà nước; </w:t>
      </w:r>
      <w:r>
        <w:rPr>
          <w:rFonts w:eastAsia="Calibri" w:cs="Courier New"/>
          <w:color w:val="FF0000"/>
          <w:sz w:val="28"/>
          <w:szCs w:val="28"/>
          <w:lang w:val="nl-NL"/>
        </w:rPr>
        <w:t xml:space="preserve"> </w:t>
      </w:r>
    </w:p>
    <w:p w14:paraId="085632F3">
      <w:pPr>
        <w:tabs>
          <w:tab w:val="left" w:pos="0"/>
        </w:tabs>
        <w:spacing w:before="40"/>
        <w:ind w:firstLine="720"/>
        <w:jc w:val="both"/>
        <w:rPr>
          <w:rFonts w:eastAsia="Calibri" w:cs="Courier New"/>
          <w:sz w:val="28"/>
          <w:szCs w:val="28"/>
          <w:lang w:val="nl-NL"/>
        </w:rPr>
      </w:pPr>
      <w:r>
        <w:rPr>
          <w:rFonts w:eastAsia="Calibri" w:cs="Courier New"/>
          <w:sz w:val="28"/>
          <w:szCs w:val="28"/>
          <w:lang w:val="nl-NL"/>
        </w:rPr>
        <w:t xml:space="preserve">Căn cứ Quyết định số </w:t>
      </w:r>
      <w:r>
        <w:rPr>
          <w:rFonts w:hint="default" w:eastAsia="Calibri" w:cs="Courier New"/>
          <w:sz w:val="28"/>
          <w:szCs w:val="28"/>
          <w:lang w:val="en-US"/>
        </w:rPr>
        <w:t>3568</w:t>
      </w:r>
      <w:r>
        <w:rPr>
          <w:rFonts w:eastAsia="Calibri" w:cs="Courier New"/>
          <w:sz w:val="28"/>
          <w:szCs w:val="28"/>
          <w:lang w:val="nl-NL"/>
        </w:rPr>
        <w:t xml:space="preserve">/QĐ-UBND ngày </w:t>
      </w:r>
      <w:r>
        <w:rPr>
          <w:rFonts w:hint="default" w:eastAsia="Calibri" w:cs="Courier New"/>
          <w:sz w:val="28"/>
          <w:szCs w:val="28"/>
          <w:lang w:val="en-US"/>
        </w:rPr>
        <w:t>09</w:t>
      </w:r>
      <w:r>
        <w:rPr>
          <w:rFonts w:eastAsia="Calibri" w:cs="Courier New"/>
          <w:sz w:val="28"/>
          <w:szCs w:val="28"/>
          <w:lang w:val="nl-NL"/>
        </w:rPr>
        <w:t xml:space="preserve"> tháng 12 năm 202</w:t>
      </w:r>
      <w:r>
        <w:rPr>
          <w:rFonts w:hint="default" w:eastAsia="Calibri" w:cs="Courier New"/>
          <w:sz w:val="28"/>
          <w:szCs w:val="28"/>
          <w:lang w:val="en-US"/>
        </w:rPr>
        <w:t>4</w:t>
      </w:r>
      <w:r>
        <w:rPr>
          <w:rFonts w:eastAsia="Calibri" w:cs="Courier New"/>
          <w:sz w:val="28"/>
          <w:szCs w:val="28"/>
          <w:lang w:val="nl-NL"/>
        </w:rPr>
        <w:t xml:space="preserve"> của Ủy ban nhân huyện Tiên Yên về việc giao chỉ tiêu kế hoạch </w:t>
      </w:r>
      <w:r>
        <w:rPr>
          <w:rFonts w:hint="default" w:eastAsia="Calibri" w:cs="Courier New"/>
          <w:sz w:val="28"/>
          <w:szCs w:val="28"/>
          <w:lang w:val="en-US"/>
        </w:rPr>
        <w:t xml:space="preserve">phát triển kinh tế - xã hội </w:t>
      </w:r>
      <w:r>
        <w:rPr>
          <w:rFonts w:eastAsia="Calibri" w:cs="Courier New"/>
          <w:sz w:val="28"/>
          <w:szCs w:val="28"/>
          <w:lang w:val="nl-NL"/>
        </w:rPr>
        <w:t>năm 202</w:t>
      </w:r>
      <w:r>
        <w:rPr>
          <w:rFonts w:hint="default" w:eastAsia="Calibri" w:cs="Courier New"/>
          <w:sz w:val="28"/>
          <w:szCs w:val="28"/>
          <w:lang w:val="en-US"/>
        </w:rPr>
        <w:t>5</w:t>
      </w:r>
      <w:r>
        <w:rPr>
          <w:rFonts w:eastAsia="Calibri" w:cs="Courier New"/>
          <w:sz w:val="28"/>
          <w:szCs w:val="28"/>
          <w:lang w:val="nl-NL"/>
        </w:rPr>
        <w:t>;</w:t>
      </w:r>
    </w:p>
    <w:bookmarkEnd w:id="0"/>
    <w:p w14:paraId="56235FE2">
      <w:pPr>
        <w:spacing w:before="40"/>
        <w:ind w:firstLine="720" w:firstLineChars="0"/>
        <w:jc w:val="both"/>
        <w:rPr>
          <w:color w:val="FF0000"/>
          <w:sz w:val="28"/>
          <w:szCs w:val="28"/>
          <w:lang w:val="nl-NL"/>
        </w:rPr>
      </w:pPr>
      <w:r>
        <w:rPr>
          <w:color w:val="FF0000"/>
          <w:sz w:val="28"/>
          <w:szCs w:val="28"/>
          <w:lang w:val="nl-NL"/>
        </w:rPr>
        <w:t xml:space="preserve">Căn cứ Quyết định số </w:t>
      </w:r>
      <w:r>
        <w:rPr>
          <w:rFonts w:hint="default"/>
          <w:color w:val="FF0000"/>
          <w:sz w:val="28"/>
          <w:szCs w:val="28"/>
          <w:lang w:val="en-US"/>
        </w:rPr>
        <w:t>3589</w:t>
      </w:r>
      <w:r>
        <w:rPr>
          <w:color w:val="FF0000"/>
          <w:sz w:val="28"/>
          <w:szCs w:val="28"/>
          <w:lang w:val="nl-NL"/>
        </w:rPr>
        <w:t>/QĐ-</w:t>
      </w:r>
      <w:r>
        <w:rPr>
          <w:rFonts w:hint="default"/>
          <w:color w:val="FF0000"/>
          <w:sz w:val="28"/>
          <w:szCs w:val="28"/>
          <w:lang w:val="en-US"/>
        </w:rPr>
        <w:t>UBND</w:t>
      </w:r>
      <w:r>
        <w:rPr>
          <w:color w:val="FF0000"/>
          <w:sz w:val="28"/>
          <w:szCs w:val="28"/>
          <w:lang w:val="nl-NL"/>
        </w:rPr>
        <w:t xml:space="preserve"> ngày </w:t>
      </w:r>
      <w:r>
        <w:rPr>
          <w:rFonts w:hint="default"/>
          <w:color w:val="FF0000"/>
          <w:sz w:val="28"/>
          <w:szCs w:val="28"/>
          <w:lang w:val="en-US"/>
        </w:rPr>
        <w:t>23</w:t>
      </w:r>
      <w:r>
        <w:rPr>
          <w:color w:val="FF0000"/>
          <w:sz w:val="28"/>
          <w:szCs w:val="28"/>
          <w:lang w:val="nl-NL"/>
        </w:rPr>
        <w:t xml:space="preserve"> tháng </w:t>
      </w:r>
      <w:r>
        <w:rPr>
          <w:rFonts w:hint="default"/>
          <w:color w:val="FF0000"/>
          <w:sz w:val="28"/>
          <w:szCs w:val="28"/>
          <w:lang w:val="en-US"/>
        </w:rPr>
        <w:t>12</w:t>
      </w:r>
      <w:r>
        <w:rPr>
          <w:color w:val="FF0000"/>
          <w:sz w:val="28"/>
          <w:szCs w:val="28"/>
          <w:lang w:val="nl-NL"/>
        </w:rPr>
        <w:t xml:space="preserve"> năm 2024 của </w:t>
      </w:r>
      <w:r>
        <w:rPr>
          <w:color w:val="FF0000"/>
          <w:sz w:val="28"/>
          <w:szCs w:val="28"/>
          <w:lang w:val="en-US"/>
        </w:rPr>
        <w:t>Ủ</w:t>
      </w:r>
      <w:r>
        <w:rPr>
          <w:rFonts w:hint="default"/>
          <w:color w:val="FF0000"/>
          <w:sz w:val="28"/>
          <w:szCs w:val="28"/>
          <w:lang w:val="en-US"/>
        </w:rPr>
        <w:t>y ban nhân huyện TIên Yên về việc giao chỉ tiêu kế hoạch năm 2025</w:t>
      </w:r>
      <w:r>
        <w:rPr>
          <w:color w:val="FF0000"/>
          <w:sz w:val="28"/>
          <w:szCs w:val="28"/>
          <w:lang w:val="nl-NL"/>
        </w:rPr>
        <w:t>;</w:t>
      </w:r>
    </w:p>
    <w:p w14:paraId="26223A58">
      <w:pPr>
        <w:spacing w:before="40"/>
        <w:ind w:firstLine="720"/>
        <w:jc w:val="both"/>
        <w:rPr>
          <w:spacing w:val="-6"/>
          <w:position w:val="-4"/>
          <w:sz w:val="28"/>
          <w:szCs w:val="28"/>
          <w:lang w:val="nl-NL"/>
        </w:rPr>
      </w:pPr>
      <w:r>
        <w:rPr>
          <w:spacing w:val="-6"/>
          <w:position w:val="-4"/>
          <w:sz w:val="28"/>
          <w:szCs w:val="28"/>
          <w:lang w:val="nl-NL"/>
        </w:rPr>
        <w:t>Căn cứ đề nghị của tập thể cán bộ viên chức của trường Tiểu học Đông Ngũ:</w:t>
      </w:r>
    </w:p>
    <w:p w14:paraId="0A250243">
      <w:pPr>
        <w:rPr>
          <w:b/>
          <w:bCs/>
          <w:spacing w:val="-6"/>
          <w:position w:val="-4"/>
          <w:sz w:val="28"/>
          <w:szCs w:val="28"/>
          <w:lang w:val="nl-NL"/>
        </w:rPr>
      </w:pPr>
    </w:p>
    <w:p w14:paraId="48D471F9">
      <w:pPr>
        <w:jc w:val="center"/>
        <w:rPr>
          <w:b/>
          <w:bCs/>
          <w:sz w:val="28"/>
          <w:szCs w:val="28"/>
          <w:lang w:val="nl-NL"/>
        </w:rPr>
      </w:pPr>
      <w:r>
        <w:rPr>
          <w:b/>
          <w:bCs/>
          <w:sz w:val="28"/>
          <w:szCs w:val="28"/>
          <w:lang w:val="nl-NL"/>
        </w:rPr>
        <w:t>QUYẾT ĐỊNH</w:t>
      </w:r>
    </w:p>
    <w:p w14:paraId="192528B0">
      <w:pPr>
        <w:ind w:firstLine="720"/>
        <w:jc w:val="center"/>
        <w:rPr>
          <w:b/>
          <w:bCs/>
          <w:sz w:val="28"/>
          <w:szCs w:val="28"/>
          <w:lang w:val="nl-NL"/>
        </w:rPr>
      </w:pPr>
    </w:p>
    <w:p w14:paraId="4196A980">
      <w:pPr>
        <w:ind w:firstLine="720"/>
        <w:jc w:val="both"/>
        <w:rPr>
          <w:sz w:val="28"/>
          <w:szCs w:val="28"/>
          <w:lang w:val="nl-NL"/>
        </w:rPr>
      </w:pPr>
      <w:r>
        <w:rPr>
          <w:b/>
          <w:sz w:val="28"/>
          <w:szCs w:val="28"/>
          <w:lang w:val="nl-NL"/>
        </w:rPr>
        <w:t>Điều 1</w:t>
      </w:r>
      <w:r>
        <w:rPr>
          <w:sz w:val="28"/>
          <w:szCs w:val="28"/>
          <w:lang w:val="nl-NL"/>
        </w:rPr>
        <w:t xml:space="preserve">: Ban hành kèm theo quyết định quy chế chi tiêu nội bộ của Trường Tiểu học Đông Ngũ </w:t>
      </w:r>
      <w:r>
        <w:rPr>
          <w:bCs/>
          <w:sz w:val="28"/>
          <w:szCs w:val="28"/>
          <w:lang w:val="nl-NL"/>
        </w:rPr>
        <w:t xml:space="preserve"> </w:t>
      </w:r>
      <w:r>
        <w:rPr>
          <w:sz w:val="28"/>
          <w:szCs w:val="28"/>
          <w:lang w:val="nl-NL"/>
        </w:rPr>
        <w:t>năm 202</w:t>
      </w:r>
      <w:r>
        <w:rPr>
          <w:rFonts w:hint="default"/>
          <w:sz w:val="28"/>
          <w:szCs w:val="28"/>
          <w:lang w:val="en-US"/>
        </w:rPr>
        <w:t>5</w:t>
      </w:r>
      <w:r>
        <w:rPr>
          <w:sz w:val="28"/>
          <w:szCs w:val="28"/>
          <w:lang w:val="nl-NL"/>
        </w:rPr>
        <w:t>.</w:t>
      </w:r>
    </w:p>
    <w:p w14:paraId="4BF16ADE">
      <w:pPr>
        <w:ind w:firstLine="720"/>
        <w:jc w:val="both"/>
        <w:rPr>
          <w:sz w:val="28"/>
          <w:szCs w:val="28"/>
          <w:lang w:val="nl-NL"/>
        </w:rPr>
      </w:pPr>
      <w:r>
        <w:rPr>
          <w:b/>
          <w:sz w:val="28"/>
          <w:szCs w:val="28"/>
          <w:lang w:val="nl-NL"/>
        </w:rPr>
        <w:t>Điều 2</w:t>
      </w:r>
      <w:r>
        <w:rPr>
          <w:sz w:val="28"/>
          <w:szCs w:val="28"/>
          <w:lang w:val="nl-NL"/>
        </w:rPr>
        <w:t>: Quyết định có hiệu lực kể từ năm 202</w:t>
      </w:r>
      <w:r>
        <w:rPr>
          <w:rFonts w:hint="default"/>
          <w:sz w:val="28"/>
          <w:szCs w:val="28"/>
          <w:lang w:val="en-US"/>
        </w:rPr>
        <w:t>5</w:t>
      </w:r>
      <w:r>
        <w:rPr>
          <w:sz w:val="28"/>
          <w:szCs w:val="28"/>
          <w:lang w:val="nl-NL"/>
        </w:rPr>
        <w:t>. Tập thể cán bộ, giáo viên, nhân viên trong Trường Tiểu học Đông Ngũ</w:t>
      </w:r>
      <w:r>
        <w:rPr>
          <w:bCs/>
          <w:sz w:val="28"/>
          <w:szCs w:val="28"/>
          <w:lang w:val="nl-NL"/>
        </w:rPr>
        <w:t xml:space="preserve"> </w:t>
      </w:r>
      <w:r>
        <w:rPr>
          <w:sz w:val="28"/>
          <w:szCs w:val="28"/>
          <w:lang w:val="nl-NL"/>
        </w:rPr>
        <w:t>chịu trách nhiệm thực hiện nghiêm túc quyết định này.</w:t>
      </w:r>
    </w:p>
    <w:p w14:paraId="079D988D">
      <w:pPr>
        <w:ind w:firstLine="720"/>
        <w:jc w:val="both"/>
        <w:rPr>
          <w:sz w:val="28"/>
          <w:szCs w:val="28"/>
          <w:lang w:val="nl-NL"/>
        </w:rPr>
      </w:pPr>
      <w:r>
        <w:rPr>
          <w:sz w:val="28"/>
          <w:szCs w:val="28"/>
          <w:lang w:val="nl-NL"/>
        </w:rPr>
        <w:t>Các chế độ khác không đề cập trong quy chế này, thực hiện theo chế độ nhà nước hiện hành;</w:t>
      </w:r>
    </w:p>
    <w:p w14:paraId="4A752D60">
      <w:pPr>
        <w:spacing w:after="120"/>
        <w:jc w:val="both"/>
        <w:rPr>
          <w:b/>
          <w:bCs/>
          <w:sz w:val="28"/>
          <w:szCs w:val="28"/>
        </w:rPr>
      </w:pPr>
    </w:p>
    <w:p w14:paraId="43F1FACA">
      <w:pPr>
        <w:spacing w:after="120"/>
        <w:ind w:firstLine="720"/>
        <w:jc w:val="both"/>
        <w:rPr>
          <w:sz w:val="28"/>
          <w:szCs w:val="28"/>
        </w:rPr>
      </w:pPr>
      <w:r>
        <w:rPr>
          <w:b/>
          <w:bCs/>
          <w:sz w:val="28"/>
          <w:szCs w:val="28"/>
        </w:rPr>
        <w:t>Điều 3</w:t>
      </w:r>
      <w:r>
        <w:rPr>
          <w:sz w:val="28"/>
          <w:szCs w:val="28"/>
        </w:rPr>
        <w:t>: Ban giám hiệu, Công đoàn, bộ phận kế toán và toàn thể giáo viên, nhân viên căn cứ Quyết định thi hành./.</w:t>
      </w:r>
    </w:p>
    <w:tbl>
      <w:tblPr>
        <w:tblStyle w:val="9"/>
        <w:tblW w:w="10712" w:type="dxa"/>
        <w:tblInd w:w="-718" w:type="dxa"/>
        <w:tblLayout w:type="autofit"/>
        <w:tblCellMar>
          <w:top w:w="0" w:type="dxa"/>
          <w:left w:w="108" w:type="dxa"/>
          <w:bottom w:w="0" w:type="dxa"/>
          <w:right w:w="108" w:type="dxa"/>
        </w:tblCellMar>
      </w:tblPr>
      <w:tblGrid>
        <w:gridCol w:w="883"/>
        <w:gridCol w:w="3654"/>
        <w:gridCol w:w="470"/>
        <w:gridCol w:w="5433"/>
        <w:gridCol w:w="272"/>
      </w:tblGrid>
      <w:tr w14:paraId="03C3A0A6">
        <w:tblPrEx>
          <w:tblCellMar>
            <w:top w:w="0" w:type="dxa"/>
            <w:left w:w="108" w:type="dxa"/>
            <w:bottom w:w="0" w:type="dxa"/>
            <w:right w:w="108" w:type="dxa"/>
          </w:tblCellMar>
        </w:tblPrEx>
        <w:trPr>
          <w:gridBefore w:val="1"/>
          <w:wBefore w:w="883" w:type="dxa"/>
          <w:trHeight w:val="290" w:hRule="atLeast"/>
        </w:trPr>
        <w:tc>
          <w:tcPr>
            <w:tcW w:w="4124" w:type="dxa"/>
            <w:gridSpan w:val="2"/>
          </w:tcPr>
          <w:p w14:paraId="352EFF9C">
            <w:pPr>
              <w:rPr>
                <w:bCs/>
                <w:i/>
                <w:sz w:val="22"/>
                <w:szCs w:val="22"/>
                <w:lang w:val="vi-VN"/>
              </w:rPr>
            </w:pPr>
            <w:r>
              <w:rPr>
                <w:bCs/>
                <w:i/>
                <w:sz w:val="22"/>
                <w:szCs w:val="22"/>
                <w:lang w:val="vi-VN"/>
              </w:rPr>
              <w:t xml:space="preserve">Nơi nhận: </w:t>
            </w:r>
            <w:r>
              <w:rPr>
                <w:bCs/>
                <w:i/>
                <w:sz w:val="22"/>
                <w:szCs w:val="22"/>
                <w:lang w:val="vi-VN"/>
              </w:rPr>
              <w:tab/>
            </w:r>
          </w:p>
          <w:p w14:paraId="6710D08C">
            <w:pPr>
              <w:rPr>
                <w:bCs/>
                <w:i/>
                <w:sz w:val="22"/>
                <w:szCs w:val="22"/>
              </w:rPr>
            </w:pPr>
            <w:r>
              <w:rPr>
                <w:bCs/>
                <w:i/>
                <w:sz w:val="22"/>
                <w:szCs w:val="22"/>
                <w:lang w:val="vi-VN"/>
              </w:rPr>
              <w:t xml:space="preserve">   - Phòng TC-KH </w:t>
            </w:r>
            <w:r>
              <w:rPr>
                <w:bCs/>
                <w:i/>
                <w:sz w:val="22"/>
                <w:szCs w:val="22"/>
              </w:rPr>
              <w:t>Tiên Yên</w:t>
            </w:r>
          </w:p>
        </w:tc>
        <w:tc>
          <w:tcPr>
            <w:tcW w:w="5705" w:type="dxa"/>
            <w:gridSpan w:val="2"/>
          </w:tcPr>
          <w:p w14:paraId="0B1D72A3">
            <w:pPr>
              <w:jc w:val="center"/>
              <w:rPr>
                <w:b/>
                <w:bCs/>
                <w:lang w:val="nl-NL"/>
              </w:rPr>
            </w:pPr>
            <w:r>
              <w:rPr>
                <w:b/>
                <w:bCs/>
                <w:lang w:val="nl-NL"/>
              </w:rPr>
              <w:t>HIỆU TRƯỞNG</w:t>
            </w:r>
          </w:p>
        </w:tc>
      </w:tr>
      <w:tr w14:paraId="0F940479">
        <w:tblPrEx>
          <w:tblCellMar>
            <w:top w:w="0" w:type="dxa"/>
            <w:left w:w="108" w:type="dxa"/>
            <w:bottom w:w="0" w:type="dxa"/>
            <w:right w:w="108" w:type="dxa"/>
          </w:tblCellMar>
        </w:tblPrEx>
        <w:trPr>
          <w:gridBefore w:val="1"/>
          <w:wBefore w:w="883" w:type="dxa"/>
          <w:trHeight w:val="290" w:hRule="atLeast"/>
        </w:trPr>
        <w:tc>
          <w:tcPr>
            <w:tcW w:w="4124" w:type="dxa"/>
            <w:gridSpan w:val="2"/>
          </w:tcPr>
          <w:p w14:paraId="02F6B416">
            <w:pPr>
              <w:rPr>
                <w:bCs/>
                <w:i/>
                <w:sz w:val="22"/>
                <w:szCs w:val="22"/>
                <w:lang w:val="vi-VN"/>
              </w:rPr>
            </w:pPr>
            <w:r>
              <w:rPr>
                <w:bCs/>
                <w:i/>
                <w:sz w:val="22"/>
                <w:szCs w:val="22"/>
                <w:lang w:val="vi-VN"/>
              </w:rPr>
              <w:t xml:space="preserve">  - Phòng GD&amp;ĐT </w:t>
            </w:r>
            <w:r>
              <w:rPr>
                <w:bCs/>
                <w:i/>
                <w:sz w:val="22"/>
                <w:szCs w:val="22"/>
              </w:rPr>
              <w:t xml:space="preserve"> Tiên Yên</w:t>
            </w:r>
          </w:p>
        </w:tc>
        <w:tc>
          <w:tcPr>
            <w:tcW w:w="5705" w:type="dxa"/>
            <w:gridSpan w:val="2"/>
          </w:tcPr>
          <w:p w14:paraId="4D6750CF">
            <w:pPr>
              <w:rPr>
                <w:b/>
                <w:bCs/>
                <w:lang w:val="nl-NL"/>
              </w:rPr>
            </w:pPr>
          </w:p>
        </w:tc>
      </w:tr>
      <w:tr w14:paraId="44C89EC9">
        <w:tblPrEx>
          <w:tblCellMar>
            <w:top w:w="0" w:type="dxa"/>
            <w:left w:w="108" w:type="dxa"/>
            <w:bottom w:w="0" w:type="dxa"/>
            <w:right w:w="108" w:type="dxa"/>
          </w:tblCellMar>
        </w:tblPrEx>
        <w:trPr>
          <w:gridBefore w:val="1"/>
          <w:wBefore w:w="883" w:type="dxa"/>
          <w:trHeight w:val="290" w:hRule="atLeast"/>
        </w:trPr>
        <w:tc>
          <w:tcPr>
            <w:tcW w:w="4124" w:type="dxa"/>
            <w:gridSpan w:val="2"/>
          </w:tcPr>
          <w:p w14:paraId="3C7C5652">
            <w:pPr>
              <w:rPr>
                <w:bCs/>
                <w:i/>
                <w:sz w:val="22"/>
                <w:szCs w:val="22"/>
              </w:rPr>
            </w:pPr>
            <w:r>
              <w:rPr>
                <w:bCs/>
                <w:i/>
                <w:sz w:val="22"/>
                <w:szCs w:val="22"/>
                <w:lang w:val="vi-VN"/>
              </w:rPr>
              <w:t xml:space="preserve">  - Kho bạc nhà nước </w:t>
            </w:r>
            <w:r>
              <w:rPr>
                <w:bCs/>
                <w:i/>
                <w:sz w:val="22"/>
                <w:szCs w:val="22"/>
              </w:rPr>
              <w:t>Tiên Yên</w:t>
            </w:r>
          </w:p>
          <w:p w14:paraId="090862C1">
            <w:pPr>
              <w:tabs>
                <w:tab w:val="left" w:pos="3015"/>
              </w:tabs>
              <w:rPr>
                <w:bCs/>
                <w:i/>
                <w:sz w:val="22"/>
                <w:szCs w:val="22"/>
                <w:lang w:val="vi-VN"/>
              </w:rPr>
            </w:pPr>
            <w:r>
              <w:rPr>
                <w:bCs/>
                <w:i/>
                <w:sz w:val="22"/>
                <w:szCs w:val="22"/>
              </w:rPr>
              <w:t xml:space="preserve"> </w:t>
            </w:r>
            <w:r>
              <w:rPr>
                <w:bCs/>
                <w:i/>
                <w:sz w:val="22"/>
                <w:szCs w:val="22"/>
                <w:lang w:val="vi-VN"/>
              </w:rPr>
              <w:t>- Lưu</w:t>
            </w:r>
            <w:r>
              <w:rPr>
                <w:bCs/>
                <w:i/>
                <w:sz w:val="22"/>
                <w:szCs w:val="22"/>
              </w:rPr>
              <w:t xml:space="preserve"> trường</w:t>
            </w:r>
            <w:r>
              <w:rPr>
                <w:bCs/>
                <w:i/>
                <w:sz w:val="22"/>
                <w:szCs w:val="22"/>
                <w:lang w:val="vi-VN"/>
              </w:rPr>
              <w:tab/>
            </w:r>
          </w:p>
        </w:tc>
        <w:tc>
          <w:tcPr>
            <w:tcW w:w="5705" w:type="dxa"/>
            <w:gridSpan w:val="2"/>
          </w:tcPr>
          <w:p w14:paraId="21C14D39">
            <w:pPr>
              <w:rPr>
                <w:b/>
                <w:bCs/>
              </w:rPr>
            </w:pPr>
          </w:p>
          <w:p w14:paraId="51717BBE">
            <w:pPr>
              <w:rPr>
                <w:b/>
                <w:bCs/>
              </w:rPr>
            </w:pPr>
            <w:r>
              <w:rPr>
                <w:b/>
                <w:bCs/>
              </w:rPr>
              <w:t xml:space="preserve">                </w:t>
            </w:r>
          </w:p>
          <w:p w14:paraId="17063DD9">
            <w:pPr>
              <w:rPr>
                <w:b/>
                <w:bCs/>
              </w:rPr>
            </w:pPr>
            <w:r>
              <w:rPr>
                <w:b/>
                <w:bCs/>
              </w:rPr>
              <w:t xml:space="preserve"> </w:t>
            </w:r>
          </w:p>
          <w:p w14:paraId="13F44873">
            <w:pPr>
              <w:rPr>
                <w:b/>
                <w:bCs/>
              </w:rPr>
            </w:pPr>
          </w:p>
          <w:p w14:paraId="7E702FFB">
            <w:pPr>
              <w:rPr>
                <w:b/>
                <w:bCs/>
              </w:rPr>
            </w:pPr>
            <w:r>
              <w:rPr>
                <w:b/>
                <w:bCs/>
              </w:rPr>
              <w:t xml:space="preserve">                      Nguyễn Mai Khanh</w:t>
            </w:r>
          </w:p>
          <w:p w14:paraId="2960DA0B">
            <w:pPr>
              <w:rPr>
                <w:b/>
                <w:bCs/>
                <w:lang w:val="nl-NL"/>
              </w:rPr>
            </w:pPr>
          </w:p>
          <w:p w14:paraId="3520CBC7">
            <w:pPr>
              <w:rPr>
                <w:b/>
                <w:bCs/>
                <w:lang w:val="nl-NL"/>
              </w:rPr>
            </w:pPr>
          </w:p>
          <w:p w14:paraId="2CAB17B6">
            <w:pPr>
              <w:rPr>
                <w:b/>
                <w:bCs/>
                <w:lang w:val="nl-NL"/>
              </w:rPr>
            </w:pPr>
          </w:p>
          <w:p w14:paraId="7758CA10">
            <w:pPr>
              <w:rPr>
                <w:b/>
                <w:bCs/>
                <w:lang w:val="nl-NL"/>
              </w:rPr>
            </w:pPr>
          </w:p>
          <w:p w14:paraId="2F51C268">
            <w:pPr>
              <w:rPr>
                <w:b/>
                <w:bCs/>
                <w:lang w:val="nl-NL"/>
              </w:rPr>
            </w:pPr>
          </w:p>
          <w:p w14:paraId="6DE86FBC">
            <w:pPr>
              <w:rPr>
                <w:b/>
                <w:bCs/>
                <w:lang w:val="nl-NL"/>
              </w:rPr>
            </w:pPr>
          </w:p>
          <w:p w14:paraId="48940B56">
            <w:pPr>
              <w:rPr>
                <w:b/>
                <w:bCs/>
                <w:lang w:val="nl-NL"/>
              </w:rPr>
            </w:pPr>
          </w:p>
          <w:p w14:paraId="45880422">
            <w:pPr>
              <w:rPr>
                <w:b/>
                <w:bCs/>
                <w:lang w:val="nl-NL"/>
              </w:rPr>
            </w:pPr>
          </w:p>
          <w:p w14:paraId="19D9B0C0">
            <w:pPr>
              <w:rPr>
                <w:b/>
                <w:bCs/>
                <w:lang w:val="nl-NL"/>
              </w:rPr>
            </w:pPr>
          </w:p>
          <w:p w14:paraId="7647CD19">
            <w:pPr>
              <w:rPr>
                <w:b/>
                <w:bCs/>
                <w:lang w:val="nl-NL"/>
              </w:rPr>
            </w:pPr>
          </w:p>
          <w:p w14:paraId="3F712394">
            <w:pPr>
              <w:rPr>
                <w:b/>
                <w:bCs/>
                <w:lang w:val="nl-NL"/>
              </w:rPr>
            </w:pPr>
          </w:p>
          <w:p w14:paraId="1D063852">
            <w:pPr>
              <w:rPr>
                <w:b/>
                <w:bCs/>
                <w:lang w:val="nl-NL"/>
              </w:rPr>
            </w:pPr>
          </w:p>
          <w:p w14:paraId="53689290">
            <w:pPr>
              <w:rPr>
                <w:b/>
                <w:bCs/>
                <w:lang w:val="nl-NL"/>
              </w:rPr>
            </w:pPr>
          </w:p>
          <w:p w14:paraId="31EFC04A">
            <w:pPr>
              <w:rPr>
                <w:b/>
                <w:bCs/>
                <w:lang w:val="nl-NL"/>
              </w:rPr>
            </w:pPr>
          </w:p>
          <w:p w14:paraId="74C38E89">
            <w:pPr>
              <w:rPr>
                <w:b/>
                <w:bCs/>
                <w:lang w:val="nl-NL"/>
              </w:rPr>
            </w:pPr>
          </w:p>
          <w:p w14:paraId="6BDC9877">
            <w:pPr>
              <w:rPr>
                <w:b/>
                <w:bCs/>
                <w:lang w:val="nl-NL"/>
              </w:rPr>
            </w:pPr>
          </w:p>
          <w:p w14:paraId="7C041C62">
            <w:pPr>
              <w:rPr>
                <w:b/>
                <w:bCs/>
                <w:lang w:val="nl-NL"/>
              </w:rPr>
            </w:pPr>
          </w:p>
          <w:p w14:paraId="5AC9EECA">
            <w:pPr>
              <w:rPr>
                <w:b/>
                <w:bCs/>
                <w:lang w:val="nl-NL"/>
              </w:rPr>
            </w:pPr>
          </w:p>
          <w:p w14:paraId="4F25A2AE">
            <w:pPr>
              <w:rPr>
                <w:b/>
                <w:bCs/>
                <w:lang w:val="nl-NL"/>
              </w:rPr>
            </w:pPr>
          </w:p>
          <w:p w14:paraId="0CC8D567">
            <w:pPr>
              <w:rPr>
                <w:b/>
                <w:bCs/>
                <w:lang w:val="nl-NL"/>
              </w:rPr>
            </w:pPr>
          </w:p>
          <w:p w14:paraId="6989871C">
            <w:pPr>
              <w:rPr>
                <w:b/>
                <w:bCs/>
                <w:lang w:val="nl-NL"/>
              </w:rPr>
            </w:pPr>
          </w:p>
          <w:p w14:paraId="17113B3D">
            <w:pPr>
              <w:rPr>
                <w:b/>
                <w:bCs/>
                <w:lang w:val="nl-NL"/>
              </w:rPr>
            </w:pPr>
          </w:p>
          <w:p w14:paraId="0B64FDC2">
            <w:pPr>
              <w:rPr>
                <w:b/>
                <w:bCs/>
                <w:lang w:val="nl-NL"/>
              </w:rPr>
            </w:pPr>
          </w:p>
          <w:p w14:paraId="73199C81">
            <w:pPr>
              <w:rPr>
                <w:b/>
                <w:bCs/>
                <w:lang w:val="nl-NL"/>
              </w:rPr>
            </w:pPr>
          </w:p>
          <w:p w14:paraId="6D15A1F5">
            <w:pPr>
              <w:rPr>
                <w:b/>
                <w:bCs/>
                <w:lang w:val="nl-NL"/>
              </w:rPr>
            </w:pPr>
          </w:p>
          <w:p w14:paraId="198E4DEF">
            <w:pPr>
              <w:rPr>
                <w:b/>
                <w:bCs/>
                <w:lang w:val="nl-NL"/>
              </w:rPr>
            </w:pPr>
          </w:p>
          <w:p w14:paraId="4228C18A">
            <w:pPr>
              <w:rPr>
                <w:b/>
                <w:bCs/>
                <w:lang w:val="nl-NL"/>
              </w:rPr>
            </w:pPr>
          </w:p>
          <w:p w14:paraId="0FBC45A6">
            <w:pPr>
              <w:rPr>
                <w:lang w:val="nl-NL"/>
              </w:rPr>
            </w:pPr>
          </w:p>
        </w:tc>
      </w:tr>
      <w:tr w14:paraId="668D5BE8">
        <w:tblPrEx>
          <w:tblCellMar>
            <w:top w:w="0" w:type="dxa"/>
            <w:left w:w="108" w:type="dxa"/>
            <w:bottom w:w="0" w:type="dxa"/>
            <w:right w:w="108" w:type="dxa"/>
          </w:tblCellMar>
        </w:tblPrEx>
        <w:trPr>
          <w:gridBefore w:val="1"/>
          <w:wBefore w:w="883" w:type="dxa"/>
          <w:trHeight w:val="290" w:hRule="atLeast"/>
        </w:trPr>
        <w:tc>
          <w:tcPr>
            <w:tcW w:w="4124" w:type="dxa"/>
            <w:gridSpan w:val="2"/>
          </w:tcPr>
          <w:p w14:paraId="7D8FB747">
            <w:pPr>
              <w:tabs>
                <w:tab w:val="left" w:pos="3015"/>
              </w:tabs>
              <w:rPr>
                <w:bCs/>
                <w:i/>
                <w:sz w:val="22"/>
                <w:szCs w:val="22"/>
              </w:rPr>
            </w:pPr>
          </w:p>
          <w:p w14:paraId="4FF55F9A">
            <w:pPr>
              <w:tabs>
                <w:tab w:val="left" w:pos="3015"/>
              </w:tabs>
              <w:rPr>
                <w:bCs/>
                <w:i/>
                <w:sz w:val="22"/>
                <w:szCs w:val="22"/>
              </w:rPr>
            </w:pPr>
          </w:p>
          <w:p w14:paraId="4389F8D9">
            <w:pPr>
              <w:tabs>
                <w:tab w:val="left" w:pos="3015"/>
              </w:tabs>
              <w:rPr>
                <w:bCs/>
                <w:i/>
                <w:sz w:val="22"/>
                <w:szCs w:val="22"/>
              </w:rPr>
            </w:pPr>
          </w:p>
          <w:p w14:paraId="70429FD7">
            <w:pPr>
              <w:tabs>
                <w:tab w:val="left" w:pos="3015"/>
              </w:tabs>
              <w:rPr>
                <w:bCs/>
                <w:i/>
                <w:sz w:val="22"/>
                <w:szCs w:val="22"/>
              </w:rPr>
            </w:pPr>
          </w:p>
          <w:p w14:paraId="11042623">
            <w:pPr>
              <w:tabs>
                <w:tab w:val="left" w:pos="3015"/>
              </w:tabs>
              <w:rPr>
                <w:bCs/>
                <w:i/>
                <w:sz w:val="22"/>
                <w:szCs w:val="22"/>
              </w:rPr>
            </w:pPr>
          </w:p>
          <w:p w14:paraId="6E073F71">
            <w:pPr>
              <w:tabs>
                <w:tab w:val="left" w:pos="3015"/>
              </w:tabs>
              <w:rPr>
                <w:bCs/>
                <w:i/>
                <w:sz w:val="22"/>
                <w:szCs w:val="22"/>
              </w:rPr>
            </w:pPr>
          </w:p>
        </w:tc>
        <w:tc>
          <w:tcPr>
            <w:tcW w:w="5705" w:type="dxa"/>
            <w:gridSpan w:val="2"/>
          </w:tcPr>
          <w:p w14:paraId="33E9498A">
            <w:pPr>
              <w:rPr>
                <w:lang w:val="nl-NL"/>
              </w:rPr>
            </w:pPr>
          </w:p>
        </w:tc>
      </w:tr>
      <w:tr w14:paraId="160CE861">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gridAfter w:val="1"/>
          <w:wAfter w:w="272" w:type="dxa"/>
          <w:trHeight w:val="760" w:hRule="atLeast"/>
        </w:trPr>
        <w:tc>
          <w:tcPr>
            <w:tcW w:w="4537" w:type="dxa"/>
            <w:gridSpan w:val="2"/>
            <w:tcBorders>
              <w:top w:val="nil"/>
              <w:bottom w:val="nil"/>
            </w:tcBorders>
          </w:tcPr>
          <w:p w14:paraId="2D2C0076">
            <w:pPr>
              <w:jc w:val="center"/>
              <w:rPr>
                <w:sz w:val="26"/>
                <w:szCs w:val="26"/>
                <w:lang w:val="nl-NL"/>
              </w:rPr>
            </w:pPr>
            <w:r>
              <w:rPr>
                <w:sz w:val="26"/>
                <w:szCs w:val="26"/>
                <w:lang w:val="nl-NL"/>
              </w:rPr>
              <w:t>UBND HUYỆN TIÊN YÊN</w:t>
            </w:r>
          </w:p>
          <w:p w14:paraId="0C1A79A6">
            <w:pPr>
              <w:jc w:val="center"/>
              <w:rPr>
                <w:b/>
                <w:bCs/>
                <w:sz w:val="26"/>
                <w:szCs w:val="26"/>
              </w:rPr>
            </w:pPr>
            <w:r>
              <w:rPr>
                <w:b/>
                <w:bCs/>
                <w:sz w:val="26"/>
                <w:szCs w:val="26"/>
              </w:rPr>
              <w:t xml:space="preserve">TRƯỜNG TIỂU HỌC ĐÔNG NGŨ </w:t>
            </w:r>
          </w:p>
          <w:p w14:paraId="6EB9936B">
            <w:pPr>
              <w:jc w:val="center"/>
              <w:rPr>
                <w:sz w:val="26"/>
                <w:szCs w:val="26"/>
              </w:rPr>
            </w:pPr>
            <w:r>
              <mc:AlternateContent>
                <mc:Choice Requires="wps">
                  <w:drawing>
                    <wp:anchor distT="0" distB="0" distL="114300" distR="114300" simplePos="0" relativeHeight="251663360" behindDoc="0" locked="0" layoutInCell="1" allowOverlap="1">
                      <wp:simplePos x="0" y="0"/>
                      <wp:positionH relativeFrom="column">
                        <wp:posOffset>823595</wp:posOffset>
                      </wp:positionH>
                      <wp:positionV relativeFrom="paragraph">
                        <wp:posOffset>41275</wp:posOffset>
                      </wp:positionV>
                      <wp:extent cx="831215" cy="0"/>
                      <wp:effectExtent l="0" t="0" r="0" b="0"/>
                      <wp:wrapNone/>
                      <wp:docPr id="3" name=" 2"/>
                      <wp:cNvGraphicFramePr/>
                      <a:graphic xmlns:a="http://schemas.openxmlformats.org/drawingml/2006/main">
                        <a:graphicData uri="http://schemas.microsoft.com/office/word/2010/wordprocessingShape">
                          <wps:wsp>
                            <wps:cNvCnPr/>
                            <wps:spPr bwMode="auto">
                              <a:xfrm>
                                <a:off x="0" y="0"/>
                                <a:ext cx="831215" cy="0"/>
                              </a:xfrm>
                              <a:prstGeom prst="line">
                                <a:avLst/>
                              </a:prstGeom>
                              <a:noFill/>
                              <a:ln w="9525">
                                <a:solidFill>
                                  <a:srgbClr val="000000"/>
                                </a:solidFill>
                                <a:round/>
                              </a:ln>
                            </wps:spPr>
                            <wps:bodyPr/>
                          </wps:wsp>
                        </a:graphicData>
                      </a:graphic>
                    </wp:anchor>
                  </w:drawing>
                </mc:Choice>
                <mc:Fallback>
                  <w:pict>
                    <v:line id=" 2" o:spid="_x0000_s1026" o:spt="20" style="position:absolute;left:0pt;margin-left:64.85pt;margin-top:3.25pt;height:0pt;width:65.45pt;z-index:251663360;mso-width-relative:page;mso-height-relative:page;" filled="f" stroked="t" coordsize="21600,21600" o:gfxdata="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cVi/y0wAAAAcBAAAP&#10;AAAAAAAAAAEAIAAAACIAAABkcnMvZG93bnJldi54bWxQSwECFAAUAAAACACHTuJAFaxd2asBAABo&#10;AwAADgAAAAAAAAABACAAAAAiAQAAZHJzL2Uyb0RvYy54bWxQSwUGAAAAAAYABgBZAQAAPwUAAAAA&#10;">
                      <v:fill on="f" focussize="0,0"/>
                      <v:stroke color="#000000" joinstyle="round"/>
                      <v:imagedata o:title=""/>
                      <o:lock v:ext="edit" aspectratio="f"/>
                    </v:line>
                  </w:pict>
                </mc:Fallback>
              </mc:AlternateContent>
            </w:r>
          </w:p>
        </w:tc>
        <w:tc>
          <w:tcPr>
            <w:tcW w:w="5903" w:type="dxa"/>
            <w:gridSpan w:val="2"/>
            <w:tcBorders>
              <w:top w:val="nil"/>
              <w:bottom w:val="nil"/>
            </w:tcBorders>
          </w:tcPr>
          <w:p w14:paraId="60595FF6">
            <w:pPr>
              <w:jc w:val="center"/>
              <w:rPr>
                <w:b/>
                <w:bCs/>
                <w:sz w:val="26"/>
                <w:szCs w:val="26"/>
                <w:lang w:val="nl-NL"/>
              </w:rPr>
            </w:pPr>
            <w:r>
              <w:rPr>
                <w:b/>
                <w:bCs/>
                <w:sz w:val="26"/>
                <w:szCs w:val="26"/>
                <w:lang w:val="nl-NL"/>
              </w:rPr>
              <w:t>CỘNG HÒA XÃ HỘI CHỦ NGHĨA VIỆT NAM</w:t>
            </w:r>
          </w:p>
          <w:p w14:paraId="5FC35661">
            <w:pPr>
              <w:jc w:val="center"/>
              <w:rPr>
                <w:b/>
                <w:bCs/>
                <w:sz w:val="26"/>
                <w:szCs w:val="26"/>
                <w:lang w:val="nl-NL"/>
              </w:rPr>
            </w:pPr>
            <w:r>
              <w:rPr>
                <w:b/>
                <w:bCs/>
                <w:sz w:val="26"/>
                <w:szCs w:val="26"/>
                <w:lang w:val="nl-NL"/>
              </w:rPr>
              <w:t>Độc lập – Tự do – Hạnh phúc</w:t>
            </w:r>
          </w:p>
          <w:p w14:paraId="63D5A44C">
            <w:pPr>
              <w:jc w:val="center"/>
              <w:rPr>
                <w:i/>
                <w:iCs/>
                <w:sz w:val="26"/>
                <w:szCs w:val="26"/>
                <w:lang w:val="nl-NL"/>
              </w:rPr>
            </w:pPr>
            <w:r>
              <mc:AlternateContent>
                <mc:Choice Requires="wps">
                  <w:drawing>
                    <wp:anchor distT="0" distB="0" distL="114300" distR="114300" simplePos="0" relativeHeight="251664384" behindDoc="0" locked="0" layoutInCell="1" allowOverlap="1">
                      <wp:simplePos x="0" y="0"/>
                      <wp:positionH relativeFrom="column">
                        <wp:posOffset>807720</wp:posOffset>
                      </wp:positionH>
                      <wp:positionV relativeFrom="paragraph">
                        <wp:posOffset>22225</wp:posOffset>
                      </wp:positionV>
                      <wp:extent cx="1967230" cy="0"/>
                      <wp:effectExtent l="0" t="0" r="0" b="0"/>
                      <wp:wrapNone/>
                      <wp:docPr id="2" name=" 3"/>
                      <wp:cNvGraphicFramePr/>
                      <a:graphic xmlns:a="http://schemas.openxmlformats.org/drawingml/2006/main">
                        <a:graphicData uri="http://schemas.microsoft.com/office/word/2010/wordprocessingShape">
                          <wps:wsp>
                            <wps:cNvCnPr/>
                            <wps:spPr bwMode="auto">
                              <a:xfrm>
                                <a:off x="0" y="0"/>
                                <a:ext cx="1967230" cy="0"/>
                              </a:xfrm>
                              <a:prstGeom prst="line">
                                <a:avLst/>
                              </a:prstGeom>
                              <a:noFill/>
                              <a:ln w="9525">
                                <a:solidFill>
                                  <a:srgbClr val="000000"/>
                                </a:solidFill>
                                <a:round/>
                              </a:ln>
                            </wps:spPr>
                            <wps:bodyPr/>
                          </wps:wsp>
                        </a:graphicData>
                      </a:graphic>
                    </wp:anchor>
                  </w:drawing>
                </mc:Choice>
                <mc:Fallback>
                  <w:pict>
                    <v:line id=" 3" o:spid="_x0000_s1026" o:spt="20" style="position:absolute;left:0pt;margin-left:63.6pt;margin-top:1.75pt;height:0pt;width:154.9pt;z-index:251664384;mso-width-relative:page;mso-height-relative:page;" filled="f" stroked="t" coordsize="21600,21600" o:gfxdata="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NY1FvUAAAABwEA&#10;AA8AAAAAAAAAAQAgAAAAIgAAAGRycy9kb3ducmV2LnhtbFBLAQIUABQAAAAIAIdO4kD4LW9FrAEA&#10;AGkDAAAOAAAAAAAAAAEAIAAAACMBAABkcnMvZTJvRG9jLnhtbFBLBQYAAAAABgAGAFkBAABBBQAA&#10;AAA=&#10;">
                      <v:fill on="f" focussize="0,0"/>
                      <v:stroke color="#000000" joinstyle="round"/>
                      <v:imagedata o:title=""/>
                      <o:lock v:ext="edit" aspectratio="f"/>
                    </v:line>
                  </w:pict>
                </mc:Fallback>
              </mc:AlternateContent>
            </w:r>
          </w:p>
        </w:tc>
      </w:tr>
      <w:tr w14:paraId="3F1008E5">
        <w:tblPrEx>
          <w:tblBorders>
            <w:top w:val="none" w:color="auto" w:sz="0" w:space="0"/>
            <w:left w:val="none" w:color="auto" w:sz="0" w:space="0"/>
            <w:bottom w:val="none" w:color="auto" w:sz="0" w:space="0"/>
            <w:right w:val="none" w:color="auto" w:sz="0" w:space="0"/>
            <w:insideH w:val="dotted" w:color="auto" w:sz="4" w:space="0"/>
            <w:insideV w:val="none" w:color="auto" w:sz="0" w:space="0"/>
          </w:tblBorders>
          <w:tblCellMar>
            <w:top w:w="0" w:type="dxa"/>
            <w:left w:w="108" w:type="dxa"/>
            <w:bottom w:w="0" w:type="dxa"/>
            <w:right w:w="108" w:type="dxa"/>
          </w:tblCellMar>
        </w:tblPrEx>
        <w:trPr>
          <w:gridAfter w:val="1"/>
          <w:wAfter w:w="272" w:type="dxa"/>
          <w:trHeight w:val="392" w:hRule="atLeast"/>
        </w:trPr>
        <w:tc>
          <w:tcPr>
            <w:tcW w:w="4537" w:type="dxa"/>
            <w:gridSpan w:val="2"/>
            <w:tcBorders>
              <w:top w:val="nil"/>
            </w:tcBorders>
          </w:tcPr>
          <w:p w14:paraId="083B92E1">
            <w:pPr>
              <w:jc w:val="center"/>
              <w:rPr>
                <w:b/>
                <w:bCs/>
                <w:sz w:val="26"/>
                <w:szCs w:val="26"/>
                <w:lang w:val="nl-NL"/>
              </w:rPr>
            </w:pPr>
          </w:p>
        </w:tc>
        <w:tc>
          <w:tcPr>
            <w:tcW w:w="5903" w:type="dxa"/>
            <w:gridSpan w:val="2"/>
            <w:tcBorders>
              <w:top w:val="nil"/>
            </w:tcBorders>
          </w:tcPr>
          <w:p w14:paraId="707E79B5">
            <w:pPr>
              <w:jc w:val="center"/>
              <w:rPr>
                <w:lang w:val="nl-NL"/>
              </w:rPr>
            </w:pPr>
            <w:r>
              <w:rPr>
                <w:i/>
                <w:iCs/>
                <w:lang w:val="nl-NL"/>
              </w:rPr>
              <w:t xml:space="preserve">Đông Ngũ, ngày </w:t>
            </w:r>
            <w:r>
              <w:rPr>
                <w:rFonts w:hint="default"/>
                <w:i/>
                <w:iCs/>
                <w:lang w:val="vi-VN"/>
              </w:rPr>
              <w:t>08</w:t>
            </w:r>
            <w:r>
              <w:rPr>
                <w:i/>
                <w:iCs/>
                <w:lang w:val="nl-NL"/>
              </w:rPr>
              <w:t xml:space="preserve"> tháng 0</w:t>
            </w:r>
            <w:r>
              <w:rPr>
                <w:rFonts w:hint="default"/>
                <w:i/>
                <w:iCs/>
                <w:lang w:val="en-US"/>
              </w:rPr>
              <w:t>1</w:t>
            </w:r>
            <w:r>
              <w:rPr>
                <w:i/>
                <w:iCs/>
                <w:lang w:val="nl-NL"/>
              </w:rPr>
              <w:t xml:space="preserve"> năm 202</w:t>
            </w:r>
            <w:r>
              <w:rPr>
                <w:rFonts w:hint="default"/>
                <w:i/>
                <w:iCs/>
                <w:lang w:val="en-US"/>
              </w:rPr>
              <w:t>5</w:t>
            </w:r>
          </w:p>
        </w:tc>
      </w:tr>
    </w:tbl>
    <w:p w14:paraId="653201A5">
      <w:pPr>
        <w:jc w:val="center"/>
        <w:rPr>
          <w:b/>
          <w:bCs/>
          <w:sz w:val="30"/>
          <w:szCs w:val="30"/>
        </w:rPr>
      </w:pPr>
    </w:p>
    <w:p w14:paraId="4A760995">
      <w:pPr>
        <w:jc w:val="center"/>
        <w:rPr>
          <w:b/>
          <w:bCs/>
          <w:sz w:val="30"/>
          <w:szCs w:val="30"/>
        </w:rPr>
      </w:pPr>
      <w:r>
        <w:rPr>
          <w:b/>
          <w:bCs/>
          <w:sz w:val="30"/>
          <w:szCs w:val="30"/>
        </w:rPr>
        <w:t>QUY CHẾ CHI TIÊU NỘI BỘ NĂM 2024</w:t>
      </w:r>
    </w:p>
    <w:p w14:paraId="2D5A6F86">
      <w:pPr>
        <w:jc w:val="center"/>
        <w:rPr>
          <w:i/>
          <w:iCs/>
          <w:sz w:val="27"/>
          <w:szCs w:val="27"/>
        </w:rPr>
      </w:pPr>
      <w:r>
        <w:rPr>
          <w:i/>
          <w:iCs/>
          <w:sz w:val="27"/>
          <w:szCs w:val="27"/>
        </w:rPr>
        <w:t xml:space="preserve">(Ban hành theo Quyết định số </w:t>
      </w:r>
      <w:r>
        <w:rPr>
          <w:rFonts w:hint="default"/>
          <w:i/>
          <w:iCs/>
          <w:sz w:val="27"/>
          <w:szCs w:val="27"/>
          <w:lang w:val="vi-VN"/>
        </w:rPr>
        <w:t>21</w:t>
      </w:r>
      <w:r>
        <w:rPr>
          <w:i/>
          <w:iCs/>
          <w:sz w:val="27"/>
          <w:szCs w:val="27"/>
        </w:rPr>
        <w:t xml:space="preserve">/QĐ-THĐN ngày </w:t>
      </w:r>
      <w:r>
        <w:rPr>
          <w:rFonts w:hint="default"/>
          <w:i/>
          <w:iCs/>
          <w:sz w:val="27"/>
          <w:szCs w:val="27"/>
          <w:lang w:val="vi-VN"/>
        </w:rPr>
        <w:t>08</w:t>
      </w:r>
      <w:r>
        <w:rPr>
          <w:i/>
          <w:iCs/>
          <w:sz w:val="27"/>
          <w:szCs w:val="27"/>
        </w:rPr>
        <w:t xml:space="preserve"> tháng 0</w:t>
      </w:r>
      <w:r>
        <w:rPr>
          <w:rFonts w:hint="default"/>
          <w:i/>
          <w:iCs/>
          <w:sz w:val="27"/>
          <w:szCs w:val="27"/>
          <w:lang w:val="en-US"/>
        </w:rPr>
        <w:t>1</w:t>
      </w:r>
      <w:r>
        <w:rPr>
          <w:i/>
          <w:iCs/>
          <w:sz w:val="27"/>
          <w:szCs w:val="27"/>
        </w:rPr>
        <w:t xml:space="preserve"> năm 202</w:t>
      </w:r>
      <w:r>
        <w:rPr>
          <w:rFonts w:hint="default"/>
          <w:i/>
          <w:iCs/>
          <w:sz w:val="27"/>
          <w:szCs w:val="27"/>
          <w:lang w:val="en-US"/>
        </w:rPr>
        <w:t>5</w:t>
      </w:r>
    </w:p>
    <w:p w14:paraId="01752BB8">
      <w:pPr>
        <w:jc w:val="center"/>
        <w:rPr>
          <w:i/>
          <w:iCs/>
          <w:sz w:val="27"/>
          <w:szCs w:val="27"/>
        </w:rPr>
      </w:pPr>
      <w:r>
        <w:rPr>
          <w:i/>
          <w:iCs/>
          <w:sz w:val="27"/>
          <w:szCs w:val="27"/>
        </w:rPr>
        <w:t>của trường Tiểu học Đông Ngũ )</w:t>
      </w:r>
    </w:p>
    <w:p w14:paraId="071AE2A0">
      <w:pPr>
        <w:spacing w:before="240" w:after="120"/>
        <w:jc w:val="center"/>
        <w:rPr>
          <w:b/>
          <w:bCs/>
        </w:rPr>
      </w:pPr>
      <w:r>
        <w:rPr>
          <w:b/>
          <w:bCs/>
        </w:rPr>
        <w:t>Chương I: NHỮNG QUY ĐỊNH CHUNG</w:t>
      </w:r>
    </w:p>
    <w:p w14:paraId="2D74D11F">
      <w:pPr>
        <w:spacing w:after="120"/>
        <w:ind w:firstLine="720"/>
        <w:jc w:val="both"/>
        <w:rPr>
          <w:b/>
          <w:bCs/>
        </w:rPr>
      </w:pPr>
      <w:r>
        <w:rPr>
          <w:b/>
          <w:bCs/>
        </w:rPr>
        <w:t xml:space="preserve">Điều 1. Mục đích xây dựng quy chế </w:t>
      </w:r>
    </w:p>
    <w:p w14:paraId="75874BB1">
      <w:pPr>
        <w:spacing w:after="120"/>
        <w:jc w:val="both"/>
        <w:rPr>
          <w:b/>
          <w:bCs/>
        </w:rPr>
      </w:pPr>
      <w:r>
        <w:rPr>
          <w:b/>
          <w:bCs/>
        </w:rPr>
        <w:tab/>
      </w:r>
      <w:r>
        <w:rPr>
          <w:b/>
          <w:bCs/>
        </w:rPr>
        <w:t xml:space="preserve">- </w:t>
      </w:r>
      <w:r>
        <w:t>Tạo quyền chủ động trong việc quản lý và chi tiêu tài chính cho thủ trưởng đơn vị.</w:t>
      </w:r>
    </w:p>
    <w:p w14:paraId="626FBB0C">
      <w:pPr>
        <w:spacing w:after="120"/>
        <w:jc w:val="both"/>
      </w:pPr>
      <w:r>
        <w:rPr>
          <w:b/>
          <w:bCs/>
        </w:rPr>
        <w:tab/>
      </w:r>
      <w:r>
        <w:rPr>
          <w:b/>
          <w:bCs/>
        </w:rPr>
        <w:t xml:space="preserve">- </w:t>
      </w:r>
      <w:r>
        <w:t>Tạo quyền chủ động cho cán bộ viên chức trong đơn vị hoàn thành nhiệm vụ được giao.</w:t>
      </w:r>
    </w:p>
    <w:p w14:paraId="7367B99C">
      <w:pPr>
        <w:spacing w:after="120"/>
        <w:jc w:val="both"/>
      </w:pPr>
      <w:r>
        <w:tab/>
      </w:r>
      <w:r>
        <w:t xml:space="preserve">- Đảm bảo thực hiện đúng quy định Luật ngân sách Nhà nước về thu, chi, quyết toán tài chính. </w:t>
      </w:r>
    </w:p>
    <w:p w14:paraId="6D489858">
      <w:pPr>
        <w:spacing w:after="120"/>
        <w:jc w:val="both"/>
      </w:pPr>
      <w:r>
        <w:tab/>
      </w:r>
      <w:r>
        <w:t>- Là căn cứ để quản lý thanh toán các khoản chi tiêu trong đơn vị, thực hiện kiểm soát của kho bạc nhà nước cơ quan có quản lý cấp trên, cơ quan tài chính và cơ quan thanh tra kiểm toán theo quy định.</w:t>
      </w:r>
    </w:p>
    <w:p w14:paraId="15095FC8">
      <w:pPr>
        <w:spacing w:after="120"/>
        <w:ind w:firstLine="560"/>
        <w:jc w:val="both"/>
        <w:rPr>
          <w:b/>
          <w:bCs/>
        </w:rPr>
      </w:pPr>
      <w:r>
        <w:rPr>
          <w:b/>
          <w:bCs/>
        </w:rPr>
        <w:tab/>
      </w:r>
      <w:r>
        <w:rPr>
          <w:b/>
          <w:bCs/>
        </w:rPr>
        <w:t>-</w:t>
      </w:r>
      <w:r>
        <w:t xml:space="preserve"> Sử dụng tài sản đúng mục đích, có hiệu quả.</w:t>
      </w:r>
    </w:p>
    <w:p w14:paraId="23AC4038">
      <w:pPr>
        <w:spacing w:after="120"/>
        <w:ind w:firstLine="560"/>
        <w:jc w:val="both"/>
        <w:rPr>
          <w:b/>
          <w:bCs/>
        </w:rPr>
      </w:pPr>
      <w:r>
        <w:rPr>
          <w:b/>
          <w:bCs/>
        </w:rPr>
        <w:tab/>
      </w:r>
      <w:r>
        <w:rPr>
          <w:b/>
          <w:bCs/>
        </w:rPr>
        <w:t xml:space="preserve">- </w:t>
      </w:r>
      <w:r>
        <w:t>Thực hành tiết kiệm chống lãng phí.</w:t>
      </w:r>
    </w:p>
    <w:p w14:paraId="22285F8A">
      <w:pPr>
        <w:spacing w:after="120"/>
        <w:ind w:firstLine="560"/>
        <w:jc w:val="both"/>
        <w:rPr>
          <w:b/>
          <w:bCs/>
        </w:rPr>
      </w:pPr>
      <w:r>
        <w:rPr>
          <w:b/>
          <w:bCs/>
        </w:rPr>
        <w:tab/>
      </w:r>
      <w:r>
        <w:rPr>
          <w:b/>
          <w:bCs/>
        </w:rPr>
        <w:t xml:space="preserve">- </w:t>
      </w:r>
      <w:r>
        <w:t>Công bằng trong đơn vị, khuyến khích tiết kiệm chi.</w:t>
      </w:r>
    </w:p>
    <w:p w14:paraId="01E5F7A5">
      <w:pPr>
        <w:spacing w:after="120"/>
        <w:ind w:firstLine="560"/>
        <w:jc w:val="both"/>
        <w:rPr>
          <w:b/>
          <w:bCs/>
        </w:rPr>
      </w:pPr>
      <w:r>
        <w:rPr>
          <w:b/>
          <w:bCs/>
        </w:rPr>
        <w:tab/>
      </w:r>
      <w:r>
        <w:rPr>
          <w:b/>
          <w:bCs/>
        </w:rPr>
        <w:t xml:space="preserve">- </w:t>
      </w:r>
      <w:r>
        <w:t>Thực hiện quy chế nhằm đảm bảo sự công bằng trong việc thực hành nhiệm vụ và quyền lợi vật chất cho người lao động, đảm bảo tính dân chủ công khai trong các hoạt động tài chính của đơn vị.</w:t>
      </w:r>
    </w:p>
    <w:p w14:paraId="6E5A257E">
      <w:pPr>
        <w:spacing w:after="120"/>
        <w:ind w:firstLine="560"/>
        <w:jc w:val="both"/>
        <w:rPr>
          <w:b/>
          <w:bCs/>
        </w:rPr>
      </w:pPr>
      <w:r>
        <w:rPr>
          <w:b/>
          <w:bCs/>
        </w:rPr>
        <w:tab/>
      </w:r>
      <w:r>
        <w:rPr>
          <w:b/>
          <w:bCs/>
        </w:rPr>
        <w:t>Điều 2. Nguyên tắc xây dựng quy chế</w:t>
      </w:r>
    </w:p>
    <w:p w14:paraId="135D4798">
      <w:pPr>
        <w:spacing w:after="120"/>
        <w:ind w:firstLine="560"/>
        <w:jc w:val="both"/>
        <w:rPr>
          <w:b/>
          <w:bCs/>
        </w:rPr>
      </w:pPr>
      <w:r>
        <w:tab/>
      </w:r>
      <w:r>
        <w:t>- Tất cả mọi khoản thu, nội dung chi phát sinh tại đơn vị đều được thống nhất theo dõi, quản lý, hạch toán, quyết toán tại bộ phận kế toán của nhà trường theo đúng chế độ hiện hành.</w:t>
      </w:r>
    </w:p>
    <w:p w14:paraId="7C903D26">
      <w:pPr>
        <w:spacing w:after="120"/>
        <w:ind w:firstLine="560"/>
        <w:jc w:val="both"/>
        <w:rPr>
          <w:b/>
          <w:bCs/>
        </w:rPr>
      </w:pPr>
      <w:r>
        <w:rPr>
          <w:b/>
          <w:bCs/>
        </w:rPr>
        <w:tab/>
      </w:r>
      <w:r>
        <w:rPr>
          <w:b/>
          <w:bCs/>
        </w:rPr>
        <w:t xml:space="preserve">- </w:t>
      </w:r>
      <w:r>
        <w:t>Các nội dung khác không đề cập đến tại quy chế này thực hiện theo quy định hiện hành của Nhà nước.</w:t>
      </w:r>
    </w:p>
    <w:p w14:paraId="4486DE14">
      <w:pPr>
        <w:spacing w:after="120"/>
        <w:ind w:firstLine="560"/>
        <w:jc w:val="both"/>
      </w:pPr>
      <w:r>
        <w:rPr>
          <w:b/>
          <w:bCs/>
        </w:rPr>
        <w:tab/>
      </w:r>
      <w:r>
        <w:rPr>
          <w:b/>
          <w:bCs/>
        </w:rPr>
        <w:t xml:space="preserve">- </w:t>
      </w:r>
      <w:r>
        <w:t>Đảm bảo chi tiêu hợp lý, tiết kiệm chi, sử dụng hiệu quả các nguồn tài chính tăng thu nhập cho người lao động.</w:t>
      </w:r>
    </w:p>
    <w:p w14:paraId="0502881A">
      <w:pPr>
        <w:shd w:val="clear" w:color="auto" w:fill="FFFFFF"/>
        <w:spacing w:after="120"/>
        <w:jc w:val="center"/>
        <w:rPr>
          <w:rFonts w:ascii="time news roman" w:hAnsi="time news roman" w:cs="time news roman"/>
          <w:b/>
          <w:bCs/>
          <w:color w:val="000000"/>
        </w:rPr>
      </w:pPr>
      <w:r>
        <w:rPr>
          <w:b/>
          <w:bCs/>
          <w:color w:val="000000"/>
        </w:rPr>
        <w:t>Chương II</w:t>
      </w:r>
      <w:r>
        <w:rPr>
          <w:rFonts w:ascii="time news roman" w:hAnsi="time news roman" w:cs="time news roman"/>
          <w:b/>
          <w:bCs/>
          <w:color w:val="000000"/>
        </w:rPr>
        <w:t xml:space="preserve">: </w:t>
      </w:r>
      <w:r>
        <w:rPr>
          <w:b/>
          <w:bCs/>
          <w:color w:val="000000"/>
        </w:rPr>
        <w:t>QUY ĐỊNH CỤ THỂ</w:t>
      </w:r>
    </w:p>
    <w:p w14:paraId="4D2BF0F6">
      <w:pPr>
        <w:shd w:val="clear" w:color="auto" w:fill="FFFFFF"/>
        <w:spacing w:after="120"/>
        <w:jc w:val="center"/>
        <w:rPr>
          <w:rFonts w:ascii="time news roman" w:hAnsi="time news roman" w:cs="time news roman"/>
          <w:color w:val="000000"/>
        </w:rPr>
      </w:pPr>
      <w:r>
        <w:rPr>
          <w:b/>
          <w:bCs/>
          <w:color w:val="000000"/>
        </w:rPr>
        <w:t>PHẦN A - NGUỒN KINH PHÍ</w:t>
      </w:r>
    </w:p>
    <w:p w14:paraId="7700AD7E">
      <w:pPr>
        <w:shd w:val="clear" w:color="auto" w:fill="FFFFFF"/>
        <w:spacing w:after="120"/>
        <w:ind w:firstLine="720"/>
        <w:jc w:val="both"/>
        <w:rPr>
          <w:b/>
          <w:bCs/>
          <w:color w:val="000000"/>
        </w:rPr>
      </w:pPr>
      <w:r>
        <w:rPr>
          <w:b/>
          <w:bCs/>
          <w:color w:val="000000"/>
        </w:rPr>
        <w:t>Điều 3. Nguồn kinh phí</w:t>
      </w:r>
    </w:p>
    <w:p w14:paraId="758D6775">
      <w:pPr>
        <w:shd w:val="clear" w:color="auto" w:fill="FFFFFF"/>
        <w:spacing w:after="120"/>
        <w:ind w:firstLine="720"/>
        <w:jc w:val="both"/>
        <w:rPr>
          <w:color w:val="FF0000"/>
          <w:sz w:val="27"/>
          <w:szCs w:val="27"/>
        </w:rPr>
      </w:pPr>
      <w:r>
        <w:rPr>
          <w:color w:val="FF0000"/>
          <w:sz w:val="27"/>
          <w:szCs w:val="27"/>
        </w:rPr>
        <w:t>Nguồn kinh phí của đơn vị quy định tại Điều 19 Nghị định số 60/2021/NĐ-CP ngày 21/6/2021 của Chính phủ, gồm các nguồn kinh phí như sau:</w:t>
      </w:r>
    </w:p>
    <w:p w14:paraId="4CC6E505">
      <w:pPr>
        <w:shd w:val="clear" w:color="auto" w:fill="FFFFFF"/>
        <w:spacing w:after="120"/>
        <w:jc w:val="both"/>
        <w:rPr>
          <w:color w:val="000000"/>
          <w:sz w:val="27"/>
          <w:szCs w:val="27"/>
        </w:rPr>
      </w:pPr>
      <w:r>
        <w:rPr>
          <w:color w:val="000000"/>
          <w:sz w:val="27"/>
          <w:szCs w:val="27"/>
        </w:rPr>
        <w:tab/>
      </w:r>
      <w:r>
        <w:rPr>
          <w:color w:val="000000"/>
          <w:sz w:val="27"/>
          <w:szCs w:val="27"/>
        </w:rPr>
        <w:t>1. Nguồn ngân sách Nhà nước cấp, gồm:</w:t>
      </w:r>
    </w:p>
    <w:p w14:paraId="054CD1DA">
      <w:pPr>
        <w:ind w:firstLine="720"/>
        <w:jc w:val="both"/>
        <w:rPr>
          <w:sz w:val="27"/>
          <w:szCs w:val="27"/>
        </w:rPr>
      </w:pPr>
      <w:r>
        <w:rPr>
          <w:sz w:val="27"/>
          <w:szCs w:val="27"/>
        </w:rPr>
        <w:t>a. Kinh phí cấp chi thường xuyên trên cơ sở nhiệm vụ được Nhà nước giao, số lượng người làm việc và định mức phân bổ dự toán được cấp có thẩm quyền phê duyệt;</w:t>
      </w:r>
    </w:p>
    <w:p w14:paraId="6F1B5449">
      <w:pPr>
        <w:spacing w:after="120"/>
        <w:ind w:firstLine="720"/>
        <w:jc w:val="both"/>
        <w:rPr>
          <w:sz w:val="27"/>
          <w:szCs w:val="27"/>
        </w:rPr>
      </w:pPr>
      <w:r>
        <w:rPr>
          <w:sz w:val="27"/>
          <w:szCs w:val="27"/>
        </w:rPr>
        <w:t>b. Kinh phí chi thường xuyên thực hiện các nhiệm vụ Nhà nước giao quy định tại điểm d khoản 1 Điều 15 Nghị định số 60/2021/NĐ-CP (nếu có).</w:t>
      </w:r>
    </w:p>
    <w:p w14:paraId="067D684A">
      <w:pPr>
        <w:spacing w:after="120"/>
        <w:ind w:firstLine="720"/>
        <w:jc w:val="both"/>
        <w:rPr>
          <w:sz w:val="27"/>
          <w:szCs w:val="27"/>
        </w:rPr>
      </w:pPr>
      <w:r>
        <w:rPr>
          <w:sz w:val="27"/>
          <w:szCs w:val="27"/>
        </w:rPr>
        <w:t>2. Nguồn thu hoạt động sự nghiệp phù hợp với chức năng, nhiệm vụ của đơn vị sự nghiệp công (nếu có).</w:t>
      </w:r>
    </w:p>
    <w:p w14:paraId="1416846D">
      <w:pPr>
        <w:spacing w:after="120"/>
        <w:ind w:firstLine="720"/>
        <w:jc w:val="both"/>
        <w:rPr>
          <w:sz w:val="27"/>
          <w:szCs w:val="27"/>
        </w:rPr>
      </w:pPr>
      <w:r>
        <w:rPr>
          <w:sz w:val="27"/>
          <w:szCs w:val="27"/>
        </w:rPr>
        <w:t>3. Nguồn viện trợ, tài trợ theo quy định của pháp luật ( nếu có).</w:t>
      </w:r>
    </w:p>
    <w:p w14:paraId="3EE2FD26">
      <w:pPr>
        <w:shd w:val="clear" w:color="auto" w:fill="FFFFFF"/>
        <w:spacing w:after="120"/>
        <w:ind w:firstLine="720"/>
        <w:jc w:val="both"/>
        <w:rPr>
          <w:sz w:val="27"/>
          <w:szCs w:val="27"/>
        </w:rPr>
      </w:pPr>
      <w:r>
        <w:rPr>
          <w:sz w:val="27"/>
          <w:szCs w:val="27"/>
        </w:rPr>
        <w:t>4. Nguồn thu khác theo quy định của pháp luật.</w:t>
      </w:r>
    </w:p>
    <w:p w14:paraId="25167372">
      <w:pPr>
        <w:shd w:val="clear" w:color="auto" w:fill="FFFFFF"/>
        <w:spacing w:after="120"/>
        <w:ind w:firstLine="720"/>
        <w:jc w:val="both"/>
        <w:rPr>
          <w:sz w:val="27"/>
          <w:szCs w:val="27"/>
        </w:rPr>
      </w:pPr>
      <w:r>
        <w:t>a</w:t>
      </w:r>
      <w:r>
        <w:rPr>
          <w:sz w:val="27"/>
          <w:szCs w:val="27"/>
        </w:rPr>
        <w:t>. Nguồn thu dịch vụ phục vụ hỗ trợ hoạt động giáo dục theo thỏa thuận với phụ huynh.</w:t>
      </w:r>
    </w:p>
    <w:p w14:paraId="6957B1AE">
      <w:pPr>
        <w:shd w:val="clear" w:color="auto" w:fill="FFFFFF"/>
        <w:spacing w:after="120"/>
        <w:ind w:firstLine="720"/>
        <w:jc w:val="both"/>
        <w:rPr>
          <w:sz w:val="27"/>
          <w:szCs w:val="27"/>
        </w:rPr>
      </w:pPr>
      <w:r>
        <w:rPr>
          <w:sz w:val="27"/>
          <w:szCs w:val="27"/>
        </w:rPr>
        <w:t>Căn cứ Nghị quyết số 34/2021/NQ-HĐND ngày 27/8/2021 của Hội đồng nhân dân Tỉnh Quảng Ninh về việc quy định một số khoản thu, dịch vụ phục vụ, hỗ trợ hoạt động giáo dục trong các cơ sở giáo dục mầm non, phổ thông và giáo dục thường xuyên công lập trên địa bàn Tỉnh Quảng Ninh năm học 2021-2022;</w:t>
      </w:r>
    </w:p>
    <w:p w14:paraId="4A5B1192">
      <w:pPr>
        <w:jc w:val="both"/>
        <w:rPr>
          <w:lang w:val="vi-VN"/>
        </w:rPr>
      </w:pPr>
      <w:r>
        <w:rPr>
          <w:lang w:val="vi-VN"/>
        </w:rPr>
        <w:tab/>
      </w:r>
      <w:r>
        <w:rPr>
          <w:lang w:val="vi-VN"/>
        </w:rPr>
        <w:t xml:space="preserve">Căn cứ Hướng dẫn số </w:t>
      </w:r>
      <w:r>
        <w:t>2593</w:t>
      </w:r>
      <w:r>
        <w:rPr>
          <w:lang w:val="vi-VN"/>
        </w:rPr>
        <w:t xml:space="preserve">/HD-GDĐT ngày </w:t>
      </w:r>
      <w:r>
        <w:t>19/9/2023</w:t>
      </w:r>
      <w:r>
        <w:rPr>
          <w:lang w:val="vi-VN"/>
        </w:rPr>
        <w:t xml:space="preserve"> của Sở Giáo dục và Đào tạo tỉnh Quảng Ninh về việc Hướng dẫn thực hiện Nghị quyết số 34/2021/NQ-HĐND ngày 27/8/2021 của Hội đồng nhân dân tỉnh Quảng Ninh quy định một số khoản thu dịch vụ phục vụ, hỗ trợ hoạt động giáo dục trong cơ sở giáo dục mầm non, phổ thông và giáo dục thường xuyên công lập trên địa bàn tỉnh Quảng Ninh;</w:t>
      </w:r>
    </w:p>
    <w:p w14:paraId="6448552C">
      <w:pPr>
        <w:jc w:val="both"/>
        <w:rPr>
          <w:lang w:val="vi-VN"/>
        </w:rPr>
      </w:pPr>
      <w:r>
        <w:rPr>
          <w:lang w:val="vi-VN"/>
        </w:rPr>
        <w:tab/>
      </w:r>
      <w:r>
        <w:rPr>
          <w:lang w:val="vi-VN"/>
        </w:rPr>
        <w:t xml:space="preserve">Căn cứ công văn số </w:t>
      </w:r>
      <w:r>
        <w:t>1460</w:t>
      </w:r>
      <w:r>
        <w:rPr>
          <w:lang w:val="vi-VN"/>
        </w:rPr>
        <w:t>/PGD</w:t>
      </w:r>
      <w:r>
        <w:t>-</w:t>
      </w:r>
      <w:r>
        <w:rPr>
          <w:lang w:val="vi-VN"/>
        </w:rPr>
        <w:t xml:space="preserve">ĐT ngày </w:t>
      </w:r>
      <w:r>
        <w:t>21/9/2023</w:t>
      </w:r>
      <w:r>
        <w:rPr>
          <w:lang w:val="vi-VN"/>
        </w:rPr>
        <w:t xml:space="preserve"> của Phòng Giáo dục và Đào tạo huyện Tiên Yên về việc thực hiện một số khoản thu dịch vụ phục vụ, hỗ trợ hoạt động giáo dục  trong cơ sở giáo dục mầm non, tiểu học, THCS trên địa bàn huyện Tiên Yên, năm học 202</w:t>
      </w:r>
      <w:r>
        <w:t>3</w:t>
      </w:r>
      <w:r>
        <w:rPr>
          <w:lang w:val="vi-VN"/>
        </w:rPr>
        <w:t>-202</w:t>
      </w:r>
      <w:r>
        <w:t>4</w:t>
      </w:r>
      <w:r>
        <w:rPr>
          <w:lang w:val="vi-VN"/>
        </w:rPr>
        <w:t>;</w:t>
      </w:r>
    </w:p>
    <w:p w14:paraId="45F86794">
      <w:pPr>
        <w:shd w:val="clear" w:color="auto" w:fill="FFFFFF"/>
        <w:spacing w:after="120"/>
        <w:ind w:firstLine="720"/>
        <w:jc w:val="both"/>
        <w:rPr>
          <w:sz w:val="27"/>
          <w:szCs w:val="27"/>
        </w:rPr>
      </w:pPr>
      <w:r>
        <w:rPr>
          <w:i/>
          <w:sz w:val="27"/>
          <w:szCs w:val="27"/>
        </w:rPr>
        <w:t>Gồm các khoản thu</w:t>
      </w:r>
      <w:r>
        <w:rPr>
          <w:sz w:val="27"/>
          <w:szCs w:val="27"/>
        </w:rPr>
        <w:t>:</w:t>
      </w:r>
    </w:p>
    <w:p w14:paraId="65AA7680">
      <w:pPr>
        <w:shd w:val="clear" w:color="auto" w:fill="FFFFFF"/>
        <w:spacing w:after="120"/>
        <w:ind w:firstLine="720"/>
        <w:jc w:val="both"/>
        <w:rPr>
          <w:sz w:val="27"/>
          <w:szCs w:val="27"/>
        </w:rPr>
      </w:pPr>
      <w:r>
        <w:rPr>
          <w:sz w:val="27"/>
          <w:szCs w:val="27"/>
        </w:rPr>
        <w:t xml:space="preserve">- Tiền dịch vụ tổ chức bán trú ( </w:t>
      </w:r>
      <w:r>
        <w:rPr>
          <w:sz w:val="27"/>
          <w:szCs w:val="27"/>
          <w:lang w:val="vi-VN"/>
        </w:rPr>
        <w:t>T</w:t>
      </w:r>
      <w:r>
        <w:rPr>
          <w:sz w:val="27"/>
          <w:szCs w:val="27"/>
        </w:rPr>
        <w:t xml:space="preserve">iền ăn bán trú; </w:t>
      </w:r>
      <w:r>
        <w:rPr>
          <w:sz w:val="27"/>
          <w:szCs w:val="27"/>
          <w:lang w:val="vi-VN"/>
        </w:rPr>
        <w:t>T</w:t>
      </w:r>
      <w:r>
        <w:rPr>
          <w:sz w:val="27"/>
          <w:szCs w:val="27"/>
        </w:rPr>
        <w:t xml:space="preserve">iền thuê người nấu ăn, </w:t>
      </w:r>
      <w:r>
        <w:rPr>
          <w:sz w:val="27"/>
          <w:szCs w:val="27"/>
          <w:lang w:val="vi-VN"/>
        </w:rPr>
        <w:t>Q</w:t>
      </w:r>
      <w:r>
        <w:rPr>
          <w:sz w:val="27"/>
          <w:szCs w:val="27"/>
        </w:rPr>
        <w:t>uản lý học sinh trong giờ bán trú );</w:t>
      </w:r>
    </w:p>
    <w:p w14:paraId="5790EF41">
      <w:pPr>
        <w:shd w:val="clear" w:color="auto" w:fill="FFFFFF"/>
        <w:spacing w:after="120"/>
        <w:ind w:left="720"/>
        <w:jc w:val="both"/>
        <w:rPr>
          <w:sz w:val="27"/>
          <w:szCs w:val="27"/>
          <w:lang w:val="vi-VN"/>
        </w:rPr>
      </w:pPr>
      <w:r>
        <w:rPr>
          <w:sz w:val="27"/>
          <w:szCs w:val="27"/>
        </w:rPr>
        <w:t>b. Nguồn thu khác theo quy định ( nếu có).</w:t>
      </w:r>
    </w:p>
    <w:p w14:paraId="6E3779E3">
      <w:pPr>
        <w:shd w:val="clear" w:color="auto" w:fill="FFFFFF"/>
        <w:spacing w:after="120"/>
        <w:jc w:val="center"/>
        <w:rPr>
          <w:b/>
          <w:bCs/>
          <w:color w:val="000000"/>
        </w:rPr>
      </w:pPr>
      <w:r>
        <w:rPr>
          <w:b/>
          <w:bCs/>
          <w:color w:val="000000"/>
        </w:rPr>
        <w:t>PHẦN B - NỘI DUNG CHI</w:t>
      </w:r>
    </w:p>
    <w:p w14:paraId="614BDB2B">
      <w:pPr>
        <w:spacing w:after="120"/>
        <w:ind w:firstLine="567"/>
        <w:jc w:val="both"/>
        <w:rPr>
          <w:b/>
          <w:bCs/>
        </w:rPr>
      </w:pPr>
      <w:r>
        <w:rPr>
          <w:b/>
          <w:bCs/>
        </w:rPr>
        <w:tab/>
      </w:r>
      <w:r>
        <w:rPr>
          <w:b/>
          <w:bCs/>
        </w:rPr>
        <w:t>Điều 4. Tiền lương, tiền công và các khoản phụ cấp</w:t>
      </w:r>
    </w:p>
    <w:p w14:paraId="3623FB6E">
      <w:pPr>
        <w:pStyle w:val="38"/>
        <w:numPr>
          <w:ilvl w:val="0"/>
          <w:numId w:val="1"/>
        </w:numPr>
        <w:spacing w:after="120"/>
        <w:jc w:val="both"/>
        <w:rPr>
          <w:b/>
          <w:bCs/>
        </w:rPr>
      </w:pPr>
      <w:r>
        <w:rPr>
          <w:b/>
          <w:bCs/>
        </w:rPr>
        <w:t>Tiền lương</w:t>
      </w:r>
    </w:p>
    <w:p w14:paraId="1D7179A3">
      <w:pPr>
        <w:spacing w:after="120"/>
        <w:jc w:val="both"/>
        <w:rPr>
          <w:color w:val="FF0000"/>
          <w:spacing w:val="-10"/>
        </w:rPr>
      </w:pPr>
      <w:r>
        <w:rPr>
          <w:color w:val="000000"/>
          <w:spacing w:val="-10"/>
        </w:rPr>
        <w:tab/>
      </w:r>
      <w:r>
        <w:rPr>
          <w:color w:val="000000"/>
          <w:spacing w:val="-10"/>
        </w:rPr>
        <w:t>Thực hiện đối với CB, GV, NV và giáo viên hợp đồng trong chỉ tiêu biên chế đã được xếp lương theo Nghị định số 204/2004/NĐ-CP ngày 14/12/2004 của Chính Phủ</w:t>
      </w:r>
      <w:r>
        <w:rPr>
          <w:spacing w:val="-10"/>
        </w:rPr>
        <w:t>.</w:t>
      </w:r>
    </w:p>
    <w:p w14:paraId="2554316A">
      <w:pPr>
        <w:spacing w:after="120"/>
        <w:ind w:firstLine="567"/>
        <w:jc w:val="both"/>
        <w:rPr>
          <w:b/>
          <w:bCs/>
        </w:rPr>
      </w:pPr>
      <w:r>
        <w:tab/>
      </w:r>
      <w:r>
        <w:t>- Tiền lương: Đảm bảo chi trả lương cho CB,GV, NV theo quy định hiện hành của Nhà nước = Hệ số lương x mức lương tối thiểu (CB, GV, NV phải thực hiện đầy đủ ngày giờ công theo quy định hiện hành).</w:t>
      </w:r>
    </w:p>
    <w:p w14:paraId="29F88920">
      <w:pPr>
        <w:ind w:firstLine="567"/>
        <w:jc w:val="both"/>
        <w:rPr>
          <w:sz w:val="27"/>
          <w:szCs w:val="27"/>
        </w:rPr>
      </w:pPr>
      <w:r>
        <w:rPr>
          <w:color w:val="000000"/>
          <w:spacing w:val="-6"/>
        </w:rPr>
        <w:tab/>
      </w:r>
      <w:r>
        <w:rPr>
          <w:sz w:val="27"/>
          <w:szCs w:val="27"/>
        </w:rPr>
        <w:t>- Các ngày nghỉ được hưởng nguyên lương và các khoản phụ cấp theo quy định hiện hành của Nhà nước quy định tại Bộ Luật lao động số 45/2019/QH14 ngày 20/11/2019 của Quốc hội và Thông tư số 28/2009/TT-BGDĐT ngày 21/10/2009 của Bộ Giáo dục và Đào tạo về chế độ làm việc đối với giáo viên phổ thông, Thông tư số 15/2017/TT-BGDĐT ngày 09 tháng 06 năm 2017 của Bộ Giáo dục và Đào tạo sửa đổi, bổ sung một số điều của quy định chế độ làm việc đối với giáo viên phổ thông ban hành theo Thông tư số 28/2009/TT-BGDĐT ngày 21/10/2009 của Bộ Giáo dục và Đào tạo.</w:t>
      </w:r>
    </w:p>
    <w:p w14:paraId="3EB14D64">
      <w:pPr>
        <w:spacing w:after="120"/>
        <w:ind w:firstLine="567"/>
        <w:jc w:val="both"/>
        <w:rPr>
          <w:b/>
          <w:bCs/>
        </w:rPr>
      </w:pPr>
      <w:r>
        <w:rPr>
          <w:b/>
          <w:bCs/>
        </w:rPr>
        <w:tab/>
      </w:r>
    </w:p>
    <w:p w14:paraId="32F2DB15">
      <w:pPr>
        <w:spacing w:after="120"/>
        <w:ind w:firstLine="567"/>
        <w:jc w:val="both"/>
        <w:rPr>
          <w:b/>
          <w:bCs/>
        </w:rPr>
      </w:pPr>
      <w:r>
        <w:rPr>
          <w:b/>
          <w:bCs/>
        </w:rPr>
        <w:t>2. Tiền công</w:t>
      </w:r>
    </w:p>
    <w:p w14:paraId="29CB81BB">
      <w:pPr>
        <w:spacing w:after="120"/>
        <w:ind w:firstLine="567"/>
        <w:jc w:val="both"/>
      </w:pPr>
      <w:r>
        <w:t>- Tiền công đối với giáo viên, nhân viên hợp đồng trong chỉ tiêu biên chế theo Quyết định của UBND huyện: Thực hiện mức tiền công khoán do UBND huyện quy định.</w:t>
      </w:r>
    </w:p>
    <w:p w14:paraId="7F3CB93F">
      <w:pPr>
        <w:spacing w:after="120"/>
        <w:ind w:firstLine="567"/>
        <w:jc w:val="both"/>
        <w:rPr>
          <w:b/>
          <w:bCs/>
        </w:rPr>
      </w:pPr>
      <w:r>
        <w:rPr>
          <w:b/>
          <w:bCs/>
        </w:rPr>
        <w:tab/>
      </w:r>
      <w:r>
        <w:rPr>
          <w:b/>
          <w:bCs/>
        </w:rPr>
        <w:t>3. Phụ cấp lương</w:t>
      </w:r>
    </w:p>
    <w:p w14:paraId="579BAFAE">
      <w:pPr>
        <w:spacing w:after="120"/>
        <w:ind w:firstLine="567"/>
        <w:jc w:val="both"/>
        <w:rPr>
          <w:b/>
          <w:bCs/>
        </w:rPr>
      </w:pPr>
      <w:r>
        <w:rPr>
          <w:b/>
          <w:bCs/>
        </w:rPr>
        <w:t xml:space="preserve">- </w:t>
      </w:r>
      <w:r>
        <w:rPr>
          <w:color w:val="000000"/>
        </w:rPr>
        <w:t>Thực hiện đối với CB, GV, NV và giáo viên hợp đồng trong chỉ tiêu biên chế đã được xếp lương theo Nghị định số 204/2004/NĐ-CP ngày 14/12/2004 của Chính Phủ.</w:t>
      </w:r>
    </w:p>
    <w:p w14:paraId="0AAF818D">
      <w:pPr>
        <w:spacing w:after="120"/>
        <w:ind w:firstLine="567"/>
        <w:jc w:val="both"/>
        <w:rPr>
          <w:b/>
          <w:bCs/>
          <w:i/>
          <w:iCs/>
        </w:rPr>
      </w:pPr>
      <w:r>
        <w:rPr>
          <w:b/>
          <w:bCs/>
          <w:i/>
          <w:iCs/>
        </w:rPr>
        <w:tab/>
      </w:r>
      <w:r>
        <w:rPr>
          <w:b/>
          <w:bCs/>
          <w:i/>
          <w:iCs/>
        </w:rPr>
        <w:t>a. Các khoản phụ cấp</w:t>
      </w:r>
      <w:r>
        <w:rPr>
          <w:i/>
          <w:iCs/>
        </w:rPr>
        <w:t>:</w:t>
      </w:r>
      <w:r>
        <w:t xml:space="preserve"> Phụ cấp chức vụ, phụ cấp khu vực, phụ cấp ưu đãi, phụ cấp trách nhiệm, phụ cấp độc hại, phụ cấp thâm niên nghề, phụ cấp thâm niên vượt khung thực hiện theo quy định hiện hành của Nhà nước.</w:t>
      </w:r>
    </w:p>
    <w:p w14:paraId="0A09C1D0">
      <w:pPr>
        <w:spacing w:after="120"/>
        <w:ind w:firstLine="567"/>
        <w:jc w:val="both"/>
        <w:rPr>
          <w:b/>
          <w:i/>
          <w:sz w:val="27"/>
          <w:szCs w:val="27"/>
        </w:rPr>
      </w:pPr>
      <w:r>
        <w:rPr>
          <w:b/>
          <w:i/>
          <w:sz w:val="27"/>
          <w:szCs w:val="27"/>
        </w:rPr>
        <w:t>Áp dụng theo các văn bản hướng dẫn:</w:t>
      </w:r>
    </w:p>
    <w:p w14:paraId="335CF5E5">
      <w:pPr>
        <w:ind w:firstLine="720"/>
        <w:jc w:val="both"/>
        <w:rPr>
          <w:sz w:val="27"/>
          <w:szCs w:val="27"/>
        </w:rPr>
      </w:pPr>
      <w:r>
        <w:rPr>
          <w:sz w:val="27"/>
          <w:szCs w:val="27"/>
        </w:rPr>
        <w:t>Thông tư số 33/2005/TT-BGD&amp;ĐT ngày 08/12/2005 về hướng dẫn tạm thời thực hiện chế độ phụ cấp chức vụ lãnh đạo trong các cơ sở giáo dục công lập;</w:t>
      </w:r>
    </w:p>
    <w:p w14:paraId="105227EA">
      <w:pPr>
        <w:ind w:firstLine="720"/>
        <w:jc w:val="both"/>
        <w:rPr>
          <w:color w:val="000000"/>
          <w:sz w:val="27"/>
          <w:szCs w:val="27"/>
        </w:rPr>
      </w:pPr>
      <w:r>
        <w:rPr>
          <w:color w:val="000000"/>
          <w:sz w:val="27"/>
          <w:szCs w:val="27"/>
        </w:rPr>
        <w:t>Thông tư số 05/2005/TT-BNV ngày 05/01/2005 của Bộ nội vụ về việc hướng dẫn thực hiện chế độ phụ cấp trách nhiệm công việc đối với cán bộ, công chức, viên chức;</w:t>
      </w:r>
    </w:p>
    <w:p w14:paraId="21B2472C">
      <w:pPr>
        <w:ind w:firstLine="720"/>
        <w:jc w:val="both"/>
        <w:rPr>
          <w:sz w:val="27"/>
          <w:szCs w:val="27"/>
        </w:rPr>
      </w:pPr>
      <w:r>
        <w:rPr>
          <w:sz w:val="27"/>
          <w:szCs w:val="27"/>
        </w:rPr>
        <w:t>Thông tư số 04/2005/TT-BNV ngày 05/01/2005 về hướng dẫn thực hiện phụ cấp thâm niên vượt khung đối với cán bộ, công chức, viên chức;</w:t>
      </w:r>
    </w:p>
    <w:p w14:paraId="4F611C9B">
      <w:pPr>
        <w:ind w:firstLine="720"/>
        <w:jc w:val="both"/>
        <w:rPr>
          <w:color w:val="000000"/>
          <w:sz w:val="27"/>
          <w:szCs w:val="27"/>
        </w:rPr>
      </w:pPr>
      <w:r>
        <w:rPr>
          <w:color w:val="000000"/>
          <w:sz w:val="27"/>
          <w:szCs w:val="27"/>
        </w:rPr>
        <w:t>Thông tư liên tịch số 11/2005/TTLT/BNV-BLĐTBXH-BTC-UBDT ngày 05/01/2005 của Bộ Nội vụ, Bộ Lao động Thương binh và xã hội, Bộ Tài chính và Uỷ ban Dân tộc về việc hướng dẫn chế độ phụ cấp khu vực;</w:t>
      </w:r>
    </w:p>
    <w:p w14:paraId="5B9333EF">
      <w:pPr>
        <w:ind w:firstLine="720"/>
        <w:jc w:val="both"/>
        <w:rPr>
          <w:color w:val="000000"/>
          <w:sz w:val="27"/>
          <w:szCs w:val="27"/>
        </w:rPr>
      </w:pPr>
      <w:r>
        <w:rPr>
          <w:color w:val="000000"/>
          <w:sz w:val="27"/>
          <w:szCs w:val="27"/>
        </w:rPr>
        <w:t>Quyết định số 244/2005/QĐ-TTG ngày 06/10/2005 của Thủ tướng Chính phủ về chế độ phụ cấp ưu đãi đối với nhà giáo đang trực tiếp giảng dạy trong các cơ sở giáo dục công lập;</w:t>
      </w:r>
    </w:p>
    <w:p w14:paraId="5E318131">
      <w:pPr>
        <w:ind w:firstLine="720"/>
        <w:jc w:val="both"/>
        <w:rPr>
          <w:color w:val="333333"/>
          <w:sz w:val="26"/>
          <w:szCs w:val="26"/>
          <w:shd w:val="clear" w:color="auto" w:fill="FFFFFF"/>
        </w:rPr>
      </w:pPr>
      <w:r>
        <w:rPr>
          <w:color w:val="333333"/>
          <w:sz w:val="26"/>
          <w:szCs w:val="26"/>
          <w:shd w:val="clear" w:color="auto" w:fill="FFFFFF"/>
        </w:rPr>
        <w:t>Thông tư số 26/2006/TT-BVHTT ngày 21/2/2006 của Bộ Văn hoá - Thông tin quy định phụ cấp độc hại, nguy hiểm đối với nhân viên thư viện;</w:t>
      </w:r>
    </w:p>
    <w:p w14:paraId="357ED801">
      <w:pPr>
        <w:ind w:firstLine="720"/>
        <w:jc w:val="both"/>
        <w:rPr>
          <w:color w:val="000000"/>
          <w:sz w:val="27"/>
          <w:szCs w:val="27"/>
        </w:rPr>
      </w:pPr>
      <w:r>
        <w:rPr>
          <w:color w:val="000000"/>
          <w:sz w:val="27"/>
          <w:szCs w:val="27"/>
        </w:rPr>
        <w:t>Thông tư số 04/2018/TT-BNV ngày 27/3/2018 của Bộ nội vụ hướng dẫn về thẩm quyền, thủ tục bổ nhiệm, bổ nhiệm lại, miễn nhiệm, thay thể và phụ cấp trách nhiệm công việc của kế toán trưởng, phụ trách kế toán của các đơn vị kế toán trong lĩnh vực kế toán nhà nước;</w:t>
      </w:r>
    </w:p>
    <w:p w14:paraId="6A32F4DD">
      <w:pPr>
        <w:ind w:firstLine="720"/>
        <w:jc w:val="both"/>
        <w:rPr>
          <w:color w:val="000000"/>
          <w:sz w:val="27"/>
          <w:szCs w:val="27"/>
          <w:lang w:val="vi-VN"/>
        </w:rPr>
      </w:pPr>
      <w:r>
        <w:rPr>
          <w:color w:val="000000"/>
          <w:sz w:val="27"/>
          <w:szCs w:val="27"/>
        </w:rPr>
        <w:t>Nghị định số 56/2011/NĐ-CP ngày 04/7/2011 về chế độ phụ cấp ưu đãi theo nghề đối với công chức, viên chức công tác tại các cơ sở y tế công lập;</w:t>
      </w:r>
    </w:p>
    <w:p w14:paraId="1779ECA3">
      <w:pPr>
        <w:ind w:firstLine="720"/>
        <w:jc w:val="both"/>
        <w:rPr>
          <w:rFonts w:ascii="NotoSerif" w:hAnsi="NotoSerif"/>
          <w:color w:val="333333"/>
          <w:sz w:val="26"/>
          <w:szCs w:val="26"/>
          <w:shd w:val="clear" w:color="auto" w:fill="FFFFFF"/>
        </w:rPr>
      </w:pPr>
      <w:r>
        <w:rPr>
          <w:color w:val="000000"/>
          <w:sz w:val="27"/>
          <w:szCs w:val="27"/>
        </w:rPr>
        <w:t>Nghị định số 77/2021/NĐ-CP ngày 01/8/2021 của Chính phủ quy định về chế độ phụ cấp thâm niên đối với nhà giáo;</w:t>
      </w:r>
      <w:r>
        <w:rPr>
          <w:rFonts w:ascii="NotoSerif" w:hAnsi="NotoSerif"/>
          <w:color w:val="333333"/>
          <w:sz w:val="26"/>
          <w:szCs w:val="26"/>
          <w:shd w:val="clear" w:color="auto" w:fill="FFFFFF"/>
        </w:rPr>
        <w:t xml:space="preserve"> </w:t>
      </w:r>
    </w:p>
    <w:p w14:paraId="21919926">
      <w:pPr>
        <w:ind w:firstLine="720"/>
        <w:jc w:val="both"/>
        <w:rPr>
          <w:color w:val="000000"/>
          <w:sz w:val="27"/>
          <w:szCs w:val="27"/>
        </w:rPr>
      </w:pPr>
    </w:p>
    <w:p w14:paraId="37E61B4B">
      <w:pPr>
        <w:ind w:firstLine="720"/>
        <w:jc w:val="both"/>
        <w:rPr>
          <w:color w:val="000000"/>
          <w:sz w:val="27"/>
          <w:szCs w:val="27"/>
          <w:lang w:val="vi-VN"/>
        </w:rPr>
      </w:pPr>
      <w:r>
        <w:rPr>
          <w:color w:val="000000"/>
          <w:sz w:val="27"/>
          <w:szCs w:val="27"/>
          <w:lang w:val="vi-VN"/>
        </w:rPr>
        <w:t>Mức chi trả cụ thể như sau:</w:t>
      </w:r>
    </w:p>
    <w:p w14:paraId="11B1D694">
      <w:pPr>
        <w:ind w:firstLine="567"/>
        <w:jc w:val="both"/>
        <w:rPr>
          <w:b/>
          <w:bCs/>
          <w:i/>
          <w:iCs/>
        </w:rPr>
      </w:pPr>
      <w:r>
        <w:t xml:space="preserve">- Phụ cấp chức vụ cho Hiệu trưởng </w:t>
      </w:r>
      <w:r>
        <w:rPr>
          <w:lang w:val="vi-VN"/>
        </w:rPr>
        <w:t>( Trường hạng I)</w:t>
      </w:r>
      <w:r>
        <w:t>: 0,5</w:t>
      </w:r>
    </w:p>
    <w:p w14:paraId="6E81A66F">
      <w:pPr>
        <w:ind w:firstLine="567"/>
        <w:jc w:val="both"/>
        <w:rPr>
          <w:b/>
          <w:bCs/>
          <w:i/>
          <w:iCs/>
        </w:rPr>
      </w:pPr>
      <w:r>
        <w:t>- Phụ cấp chức vụ cho Phó hiệu trưởng</w:t>
      </w:r>
      <w:r>
        <w:rPr>
          <w:lang w:val="vi-VN"/>
        </w:rPr>
        <w:t xml:space="preserve"> (Trường hạng I)</w:t>
      </w:r>
      <w:r>
        <w:t>: 0,4</w:t>
      </w:r>
    </w:p>
    <w:p w14:paraId="7EDAD2C7">
      <w:pPr>
        <w:ind w:firstLine="567"/>
        <w:jc w:val="both"/>
        <w:rPr>
          <w:b/>
          <w:bCs/>
          <w:i/>
          <w:iCs/>
        </w:rPr>
      </w:pPr>
      <w:r>
        <w:t>- Phụ cấp chức vụ cho Tổ trưởng chuyên môn</w:t>
      </w:r>
      <w:r>
        <w:rPr>
          <w:lang w:val="vi-VN"/>
        </w:rPr>
        <w:t xml:space="preserve">, tổ văn phòng </w:t>
      </w:r>
      <w:r>
        <w:t>: 0,2</w:t>
      </w:r>
    </w:p>
    <w:p w14:paraId="2BD51035">
      <w:pPr>
        <w:ind w:firstLine="567"/>
        <w:jc w:val="both"/>
      </w:pPr>
      <w:r>
        <w:t>- Phụ cấp chức vụ cho Tổ phó chuyên môn</w:t>
      </w:r>
      <w:r>
        <w:rPr>
          <w:lang w:val="vi-VN"/>
        </w:rPr>
        <w:t>, tổ văn phòng</w:t>
      </w:r>
      <w:r>
        <w:t>: 0,15</w:t>
      </w:r>
    </w:p>
    <w:p w14:paraId="27DB9B18">
      <w:pPr>
        <w:ind w:firstLine="567"/>
        <w:jc w:val="both"/>
        <w:rPr>
          <w:lang w:val="vi-VN"/>
        </w:rPr>
      </w:pPr>
      <w:r>
        <w:t xml:space="preserve">- Phụ cấp ưu đãi cho giáo viên: 50% x (Lương NB + PCCV+PCTNVK). </w:t>
      </w:r>
    </w:p>
    <w:p w14:paraId="2ED9B964">
      <w:pPr>
        <w:ind w:firstLine="567"/>
        <w:jc w:val="both"/>
        <w:rPr>
          <w:sz w:val="27"/>
          <w:szCs w:val="27"/>
          <w:lang w:val="vi-VN"/>
        </w:rPr>
      </w:pPr>
      <w:r>
        <w:rPr>
          <w:sz w:val="27"/>
          <w:szCs w:val="27"/>
        </w:rPr>
        <w:t>- Phụ cấp thâm niên nghề: ( Lương NB + PCCV+PCTNVK ) x % TN nghề;</w:t>
      </w:r>
    </w:p>
    <w:p w14:paraId="71AA0AB7">
      <w:pPr>
        <w:ind w:firstLine="567"/>
        <w:jc w:val="both"/>
        <w:rPr>
          <w:lang w:val="vi-VN"/>
        </w:rPr>
      </w:pPr>
      <w:r>
        <w:t>- Phụ cấp trách nhiệm cho Kế toán: 0,1</w:t>
      </w:r>
    </w:p>
    <w:p w14:paraId="236A0312">
      <w:pPr>
        <w:ind w:firstLine="567"/>
        <w:jc w:val="both"/>
        <w:rPr>
          <w:lang w:val="vi-VN"/>
        </w:rPr>
      </w:pPr>
      <w:r>
        <w:rPr>
          <w:lang w:val="vi-VN"/>
        </w:rPr>
        <w:t>- Phụ cấp trách nhiệm cho Thủ quỹ: 0,1</w:t>
      </w:r>
    </w:p>
    <w:p w14:paraId="3504954B">
      <w:pPr>
        <w:ind w:firstLine="567"/>
        <w:jc w:val="both"/>
        <w:rPr>
          <w:rFonts w:hint="default"/>
          <w:lang w:val="vi-VN"/>
        </w:rPr>
      </w:pPr>
      <w:r>
        <w:t>- Phụ cấp trách nhiệm cho Tổng phụ trách đội</w:t>
      </w:r>
      <w:r>
        <w:rPr>
          <w:lang w:val="vi-VN"/>
        </w:rPr>
        <w:t xml:space="preserve"> ( Trường hạng </w:t>
      </w:r>
      <w:r>
        <w:t>I</w:t>
      </w:r>
      <w:r>
        <w:rPr>
          <w:lang w:val="vi-VN"/>
        </w:rPr>
        <w:t>)</w:t>
      </w:r>
      <w:r>
        <w:t>: 0,</w:t>
      </w:r>
      <w:r>
        <w:rPr>
          <w:rFonts w:hint="default"/>
          <w:lang w:val="vi-VN"/>
        </w:rPr>
        <w:t>3</w:t>
      </w:r>
    </w:p>
    <w:p w14:paraId="13DC79DA">
      <w:pPr>
        <w:ind w:firstLine="567"/>
        <w:jc w:val="both"/>
      </w:pPr>
      <w:r>
        <w:t>-Phụ cấp độc hại, nguy hiểm cho nhân viên thư viện: 0,2</w:t>
      </w:r>
    </w:p>
    <w:p w14:paraId="0BE02A3A">
      <w:pPr>
        <w:ind w:firstLine="567"/>
        <w:jc w:val="both"/>
      </w:pPr>
      <w:r>
        <w:t xml:space="preserve">-Phụ cấp cho nhân viên y tế trường học (nếu có) được hưởng </w:t>
      </w:r>
      <w:r>
        <w:rPr>
          <w:color w:val="FF0000"/>
        </w:rPr>
        <w:t>20%</w:t>
      </w:r>
      <w:r>
        <w:rPr>
          <w:lang w:val="vi-VN"/>
        </w:rPr>
        <w:t xml:space="preserve"> x </w:t>
      </w:r>
      <w:r>
        <w:t xml:space="preserve">(Lương NB + PCCV+PCTNVK). </w:t>
      </w:r>
    </w:p>
    <w:p w14:paraId="31C0AD97">
      <w:pPr>
        <w:spacing w:before="120"/>
        <w:ind w:firstLine="567"/>
        <w:jc w:val="both"/>
        <w:rPr>
          <w:lang w:val="vi-VN"/>
        </w:rPr>
      </w:pPr>
    </w:p>
    <w:p w14:paraId="47D04E60">
      <w:pPr>
        <w:spacing w:before="120" w:after="120"/>
        <w:ind w:firstLine="567"/>
        <w:jc w:val="both"/>
        <w:rPr>
          <w:b/>
          <w:bCs/>
          <w:i/>
          <w:iCs/>
        </w:rPr>
      </w:pPr>
      <w:r>
        <w:rPr>
          <w:b/>
          <w:bCs/>
          <w:i/>
          <w:iCs/>
        </w:rPr>
        <w:t xml:space="preserve"> b. Phụ cấp thêm giờ: </w:t>
      </w:r>
    </w:p>
    <w:p w14:paraId="1D5B8E85">
      <w:pPr>
        <w:spacing w:after="120"/>
        <w:ind w:firstLine="567"/>
        <w:jc w:val="both"/>
        <w:rPr>
          <w:b/>
          <w:bCs/>
          <w:spacing w:val="-12"/>
        </w:rPr>
      </w:pPr>
      <w:r>
        <w:rPr>
          <w:spacing w:val="-12"/>
        </w:rPr>
        <w:t>*/</w:t>
      </w:r>
      <w:r>
        <w:rPr>
          <w:b/>
          <w:bCs/>
          <w:spacing w:val="-12"/>
        </w:rPr>
        <w:t xml:space="preserve"> Phụ cấp thêm giờ đối với giáo viên, cán bộ quản lý làm nhiệm vụ giảng dạy:</w:t>
      </w:r>
    </w:p>
    <w:p w14:paraId="5C774F65">
      <w:pPr>
        <w:spacing w:after="120"/>
        <w:ind w:firstLine="567"/>
        <w:jc w:val="both"/>
      </w:pPr>
      <w:r>
        <w:rPr>
          <w:color w:val="000000"/>
        </w:rPr>
        <w:t xml:space="preserve">Áp dụng Thông tư liên tịch số 07/2013/TTLT-BGDĐT-BNV-BTC ngày 08/3/2013 về việc </w:t>
      </w:r>
      <w:r>
        <w:t>Hướng dẫn thực hiện chế độ trả lương dạy thêm giờ đối với nhà giáo trong các cơ sở giáo dục công lập.</w:t>
      </w:r>
    </w:p>
    <w:p w14:paraId="682DAFAE">
      <w:pPr>
        <w:spacing w:after="120"/>
        <w:ind w:firstLine="567"/>
        <w:jc w:val="both"/>
      </w:pPr>
      <w:r>
        <w:rPr>
          <w:b/>
          <w:bCs/>
        </w:rPr>
        <w:t>Công thức chung để tính:</w:t>
      </w:r>
      <w:r>
        <w:rPr>
          <w:b/>
          <w:bCs/>
          <w:i/>
          <w:iCs/>
          <w:sz w:val="36"/>
          <w:szCs w:val="36"/>
          <w:vertAlign w:val="subscript"/>
        </w:rPr>
        <w:object>
          <v:shape id="_x0000_i1025" o:spt="75" type="#_x0000_t75" style="height:17.4pt;width:9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14:paraId="3BB985D2">
      <w:pPr>
        <w:spacing w:after="120"/>
        <w:ind w:firstLine="567"/>
        <w:jc w:val="both"/>
        <w:rPr>
          <w:spacing w:val="-4"/>
        </w:rPr>
      </w:pPr>
      <w:r>
        <w:rPr>
          <w:spacing w:val="-4"/>
        </w:rPr>
        <w:t>- Tiền lương dạy thêm giờ =  Số giờ dạy thêm x Tiền lương 01 giờ dạy thêm.</w:t>
      </w:r>
    </w:p>
    <w:p w14:paraId="574F9A6F">
      <w:pPr>
        <w:spacing w:after="120"/>
        <w:ind w:firstLine="567"/>
        <w:jc w:val="both"/>
      </w:pPr>
      <w:r>
        <w:t>- Tiền lương 01 giờ dạy thêm  =  Tiền lương 01 giờ dạy  x 150%.</w:t>
      </w:r>
    </w:p>
    <w:p w14:paraId="23E489AA">
      <w:pPr>
        <w:spacing w:after="120"/>
        <w:ind w:firstLine="567"/>
        <w:jc w:val="both"/>
      </w:pPr>
      <w:r>
        <w:t xml:space="preserve">- Tiền lương 01 giờ dạy:  </w:t>
      </w:r>
    </w:p>
    <w:tbl>
      <w:tblPr>
        <w:tblStyle w:val="9"/>
        <w:tblW w:w="9427" w:type="dxa"/>
        <w:tblInd w:w="-113" w:type="dxa"/>
        <w:tblLayout w:type="fixed"/>
        <w:tblCellMar>
          <w:top w:w="0" w:type="dxa"/>
          <w:left w:w="115" w:type="dxa"/>
          <w:bottom w:w="0" w:type="dxa"/>
          <w:right w:w="115" w:type="dxa"/>
        </w:tblCellMar>
      </w:tblPr>
      <w:tblGrid>
        <w:gridCol w:w="2087"/>
        <w:gridCol w:w="757"/>
        <w:gridCol w:w="3420"/>
        <w:gridCol w:w="655"/>
        <w:gridCol w:w="2508"/>
      </w:tblGrid>
      <w:tr w14:paraId="4D16615F">
        <w:tblPrEx>
          <w:tblCellMar>
            <w:top w:w="0" w:type="dxa"/>
            <w:left w:w="115" w:type="dxa"/>
            <w:bottom w:w="0" w:type="dxa"/>
            <w:right w:w="115" w:type="dxa"/>
          </w:tblCellMar>
        </w:tblPrEx>
        <w:tc>
          <w:tcPr>
            <w:tcW w:w="2087" w:type="dxa"/>
            <w:vMerge w:val="restart"/>
          </w:tcPr>
          <w:p w14:paraId="11820378">
            <w:pPr>
              <w:spacing w:after="120"/>
              <w:jc w:val="center"/>
            </w:pPr>
          </w:p>
          <w:p w14:paraId="43CBDBB9">
            <w:pPr>
              <w:spacing w:after="120"/>
              <w:jc w:val="center"/>
            </w:pPr>
            <w:r>
              <w:t>Tiền lương 01 giờ dạy</w:t>
            </w:r>
          </w:p>
        </w:tc>
        <w:tc>
          <w:tcPr>
            <w:tcW w:w="757" w:type="dxa"/>
            <w:vMerge w:val="restart"/>
          </w:tcPr>
          <w:p w14:paraId="7EB92CD5">
            <w:pPr>
              <w:spacing w:after="120"/>
              <w:jc w:val="center"/>
            </w:pPr>
          </w:p>
          <w:p w14:paraId="20F9E569">
            <w:pPr>
              <w:spacing w:after="120"/>
              <w:jc w:val="center"/>
            </w:pPr>
          </w:p>
          <w:p w14:paraId="2DE2B4B4">
            <w:pPr>
              <w:spacing w:after="120"/>
              <w:jc w:val="center"/>
            </w:pPr>
            <w:r>
              <w:t>=</w:t>
            </w:r>
          </w:p>
        </w:tc>
        <w:tc>
          <w:tcPr>
            <w:tcW w:w="3420" w:type="dxa"/>
          </w:tcPr>
          <w:p w14:paraId="6D3B22C6">
            <w:pPr>
              <w:spacing w:after="120"/>
              <w:jc w:val="center"/>
            </w:pPr>
            <w:r>
              <w:t>Tổng tiền lương của 12 tháng trong năm (tính từ tháng 7 năm trước đến tháng 6 năm liền kề)</w:t>
            </w:r>
          </w:p>
        </w:tc>
        <w:tc>
          <w:tcPr>
            <w:tcW w:w="655" w:type="dxa"/>
            <w:vMerge w:val="restart"/>
          </w:tcPr>
          <w:p w14:paraId="10B1E76A">
            <w:pPr>
              <w:spacing w:after="120"/>
              <w:jc w:val="center"/>
            </w:pPr>
          </w:p>
          <w:p w14:paraId="14078D20">
            <w:pPr>
              <w:spacing w:after="120"/>
              <w:jc w:val="center"/>
            </w:pPr>
          </w:p>
          <w:p w14:paraId="00BDC046">
            <w:pPr>
              <w:spacing w:after="120"/>
              <w:jc w:val="center"/>
            </w:pPr>
            <w:r>
              <w:t>x</w:t>
            </w:r>
          </w:p>
        </w:tc>
        <w:tc>
          <w:tcPr>
            <w:tcW w:w="2508" w:type="dxa"/>
          </w:tcPr>
          <w:p w14:paraId="0A85E106">
            <w:pPr>
              <w:spacing w:after="120"/>
              <w:jc w:val="center"/>
            </w:pPr>
            <w:r>
              <w:t>Số tuần dành cho giảng dạy (35 tuần)</w:t>
            </w:r>
          </w:p>
        </w:tc>
      </w:tr>
      <w:tr w14:paraId="2C69125B">
        <w:tblPrEx>
          <w:tblCellMar>
            <w:top w:w="0" w:type="dxa"/>
            <w:left w:w="115" w:type="dxa"/>
            <w:bottom w:w="0" w:type="dxa"/>
            <w:right w:w="115" w:type="dxa"/>
          </w:tblCellMar>
        </w:tblPrEx>
        <w:tc>
          <w:tcPr>
            <w:tcW w:w="2087" w:type="dxa"/>
            <w:vMerge w:val="continue"/>
          </w:tcPr>
          <w:p w14:paraId="6EA255B5">
            <w:pPr>
              <w:widowControl w:val="0"/>
              <w:spacing w:line="276" w:lineRule="auto"/>
            </w:pPr>
          </w:p>
        </w:tc>
        <w:tc>
          <w:tcPr>
            <w:tcW w:w="757" w:type="dxa"/>
            <w:vMerge w:val="continue"/>
          </w:tcPr>
          <w:p w14:paraId="64BF0154">
            <w:pPr>
              <w:widowControl w:val="0"/>
              <w:spacing w:line="276" w:lineRule="auto"/>
            </w:pPr>
          </w:p>
        </w:tc>
        <w:tc>
          <w:tcPr>
            <w:tcW w:w="3420" w:type="dxa"/>
          </w:tcPr>
          <w:p w14:paraId="0EA2E808">
            <w:pPr>
              <w:spacing w:after="120"/>
              <w:jc w:val="center"/>
            </w:pPr>
            <w:r>
              <w:t xml:space="preserve">Định  mức giờ dạy/năm </w:t>
            </w:r>
            <w:r>
              <w:drawing>
                <wp:anchor distT="0" distB="0" distL="114300" distR="114300" simplePos="0" relativeHeight="251659264" behindDoc="0" locked="0" layoutInCell="1" allowOverlap="1">
                  <wp:simplePos x="0" y="0"/>
                  <wp:positionH relativeFrom="column">
                    <wp:posOffset>-50800</wp:posOffset>
                  </wp:positionH>
                  <wp:positionV relativeFrom="paragraph">
                    <wp:posOffset>0</wp:posOffset>
                  </wp:positionV>
                  <wp:extent cx="0" cy="12700"/>
                  <wp:effectExtent l="0" t="0" r="0" b="0"/>
                  <wp:wrapNone/>
                  <wp:docPr id="4" name="image9.png"/>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0">
                            <a:extLst>
                              <a:ext uri="{28A0092B-C50C-407E-A947-70E740481C1C}">
                                <a14:useLocalDpi xmlns:a14="http://schemas.microsoft.com/office/drawing/2010/main" val="0"/>
                              </a:ext>
                            </a:extLst>
                          </a:blip>
                          <a:srcRect/>
                          <a:stretch>
                            <a:fillRect/>
                          </a:stretch>
                        </pic:blipFill>
                        <pic:spPr>
                          <a:xfrm>
                            <a:off x="0" y="0"/>
                            <a:ext cx="0" cy="12700"/>
                          </a:xfrm>
                          <a:prstGeom prst="rect">
                            <a:avLst/>
                          </a:prstGeom>
                          <a:noFill/>
                        </pic:spPr>
                      </pic:pic>
                    </a:graphicData>
                  </a:graphic>
                </wp:anchor>
              </w:drawing>
            </w:r>
          </w:p>
          <w:p w14:paraId="1AAC3FB1">
            <w:pPr>
              <w:spacing w:after="120"/>
              <w:jc w:val="center"/>
            </w:pPr>
            <w:r>
              <w:t>( 23 tiết x 35 tuần )</w:t>
            </w:r>
          </w:p>
        </w:tc>
        <w:tc>
          <w:tcPr>
            <w:tcW w:w="655" w:type="dxa"/>
            <w:vMerge w:val="continue"/>
          </w:tcPr>
          <w:p w14:paraId="5D143966">
            <w:pPr>
              <w:widowControl w:val="0"/>
              <w:spacing w:line="276" w:lineRule="auto"/>
            </w:pPr>
          </w:p>
        </w:tc>
        <w:tc>
          <w:tcPr>
            <w:tcW w:w="2508" w:type="dxa"/>
          </w:tcPr>
          <w:p w14:paraId="6BEADE8F">
            <w:pPr>
              <w:spacing w:after="120"/>
              <w:jc w:val="center"/>
            </w:pPr>
            <w:r>
              <w:t>52 tuần</w:t>
            </w:r>
            <w:r>
              <w:drawing>
                <wp:anchor distT="0" distB="0" distL="114300" distR="114300" simplePos="0" relativeHeight="251660288" behindDoc="0" locked="0" layoutInCell="1" allowOverlap="1">
                  <wp:simplePos x="0" y="0"/>
                  <wp:positionH relativeFrom="column">
                    <wp:posOffset>101600</wp:posOffset>
                  </wp:positionH>
                  <wp:positionV relativeFrom="paragraph">
                    <wp:posOffset>0</wp:posOffset>
                  </wp:positionV>
                  <wp:extent cx="0" cy="12700"/>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5" name="image8.png"/>
                          <pic:cNvPicPr/>
                        </pic:nvPicPr>
                        <pic:blipFill>
                          <a:blip r:embed="rId11">
                            <a:extLst>
                              <a:ext uri="{28A0092B-C50C-407E-A947-70E740481C1C}">
                                <a14:useLocalDpi xmlns:a14="http://schemas.microsoft.com/office/drawing/2010/main" val="0"/>
                              </a:ext>
                            </a:extLst>
                          </a:blip>
                          <a:srcRect/>
                          <a:stretch>
                            <a:fillRect/>
                          </a:stretch>
                        </pic:blipFill>
                        <pic:spPr>
                          <a:xfrm>
                            <a:off x="0" y="0"/>
                            <a:ext cx="0" cy="12700"/>
                          </a:xfrm>
                          <a:prstGeom prst="rect">
                            <a:avLst/>
                          </a:prstGeom>
                          <a:noFill/>
                        </pic:spPr>
                      </pic:pic>
                    </a:graphicData>
                  </a:graphic>
                </wp:anchor>
              </w:drawing>
            </w:r>
          </w:p>
        </w:tc>
      </w:tr>
    </w:tbl>
    <w:p w14:paraId="55F1F104">
      <w:pPr>
        <w:spacing w:after="120"/>
        <w:ind w:firstLine="720"/>
        <w:jc w:val="both"/>
      </w:pPr>
      <w:r>
        <w:t>- Tổng tiền lương bao gồm: (Lương NB+PCKV+PCCV+PCTNVK) x mức lương tối thiếu x 12 tháng.</w:t>
      </w:r>
    </w:p>
    <w:p w14:paraId="3DB81CFD">
      <w:pPr>
        <w:spacing w:after="120"/>
        <w:ind w:firstLine="720"/>
        <w:jc w:val="both"/>
      </w:pPr>
      <w:r>
        <w:t>- Thời gian thanh toán: Theo học kỳ hoặc theo năm học.</w:t>
      </w:r>
    </w:p>
    <w:p w14:paraId="5B3CFD63">
      <w:pPr>
        <w:spacing w:after="120"/>
        <w:ind w:firstLine="720"/>
        <w:jc w:val="both"/>
        <w:rPr>
          <w:color w:val="000000"/>
        </w:rPr>
      </w:pPr>
      <w:r>
        <w:rPr>
          <w:b/>
          <w:bCs/>
        </w:rPr>
        <w:t>*/ Phụ cấp làm thêm giờ đối với cán bộ quản lý, giáo viên ( thực hiện các nhiệm vụ khác ngoài nhiệm vụ giảng dạy ); nhân viên</w:t>
      </w:r>
      <w:r>
        <w:t xml:space="preserve"> (kế toán, văn thư, hành chính,..) nếu làm thêm giờ vào các ngày làm việc bình thường, ngày nghỉ hàng tuần, nghỉ hè, lễ, tết: </w:t>
      </w:r>
      <w:r>
        <w:rPr>
          <w:color w:val="000000"/>
        </w:rPr>
        <w:t>Áp dụng theo Nghị định số 145/2020/NĐ-CP ngày 14/12/2020 của Chính phủ quy định chi tiết và hướng dẫn thi hành một số điều của Bộ luật lao động về điều kiện lao động và quan hệ lao động.</w:t>
      </w:r>
    </w:p>
    <w:p w14:paraId="2010C573">
      <w:pPr>
        <w:spacing w:after="120"/>
        <w:ind w:firstLine="720"/>
        <w:jc w:val="both"/>
      </w:pPr>
      <w:r>
        <w:rPr>
          <w:color w:val="000000"/>
        </w:rPr>
        <w:t xml:space="preserve">- Tiền lương làm thêm giờ: Quy định tại Điều 55 của Nghị định số 145/2020/NĐ-CP. Đối với người lao động hưởng lương theo thời gian, được trả lương làm thêm giờ </w:t>
      </w:r>
      <w:r>
        <w:t>khi làm việc ngoài thời giờ làm việc bình thường do người sử dụng lao động quy định theo Điều 105 của Bộ luật Lao động và được tính như sau:</w:t>
      </w:r>
    </w:p>
    <w:p w14:paraId="7BFCD2B9">
      <w:pPr>
        <w:spacing w:after="120"/>
        <w:ind w:firstLine="720"/>
        <w:jc w:val="both"/>
        <w:rPr>
          <w:b/>
          <w:bCs/>
        </w:rPr>
      </w:pPr>
      <w:r>
        <w:rPr>
          <w:b/>
          <w:bCs/>
        </w:rPr>
        <w:t>Công thức chung để tính:</w:t>
      </w:r>
    </w:p>
    <w:tbl>
      <w:tblPr>
        <w:tblStyle w:val="9"/>
        <w:tblW w:w="9094" w:type="dxa"/>
        <w:tblInd w:w="-113" w:type="dxa"/>
        <w:tblLayout w:type="fixed"/>
        <w:tblCellMar>
          <w:top w:w="0" w:type="dxa"/>
          <w:left w:w="115" w:type="dxa"/>
          <w:bottom w:w="0" w:type="dxa"/>
          <w:right w:w="115" w:type="dxa"/>
        </w:tblCellMar>
      </w:tblPr>
      <w:tblGrid>
        <w:gridCol w:w="1653"/>
        <w:gridCol w:w="371"/>
        <w:gridCol w:w="3011"/>
        <w:gridCol w:w="2471"/>
        <w:gridCol w:w="1588"/>
      </w:tblGrid>
      <w:tr w14:paraId="4A716E34">
        <w:tblPrEx>
          <w:tblCellMar>
            <w:top w:w="0" w:type="dxa"/>
            <w:left w:w="115" w:type="dxa"/>
            <w:bottom w:w="0" w:type="dxa"/>
            <w:right w:w="115" w:type="dxa"/>
          </w:tblCellMar>
        </w:tblPrEx>
        <w:trPr>
          <w:trHeight w:val="705" w:hRule="atLeast"/>
        </w:trPr>
        <w:tc>
          <w:tcPr>
            <w:tcW w:w="1653" w:type="dxa"/>
            <w:vMerge w:val="restart"/>
            <w:tcBorders>
              <w:top w:val="nil"/>
              <w:left w:val="nil"/>
              <w:bottom w:val="nil"/>
              <w:right w:val="nil"/>
            </w:tcBorders>
            <w:vAlign w:val="center"/>
          </w:tcPr>
          <w:p w14:paraId="2D2CEF41">
            <w:pPr>
              <w:spacing w:after="120"/>
              <w:jc w:val="center"/>
              <w:rPr>
                <w:sz w:val="24"/>
                <w:szCs w:val="24"/>
              </w:rPr>
            </w:pPr>
            <w:r>
              <w:rPr>
                <w:sz w:val="24"/>
                <w:szCs w:val="24"/>
              </w:rPr>
              <w:t xml:space="preserve">Tiền lương làm thêm giờ </w:t>
            </w:r>
          </w:p>
        </w:tc>
        <w:tc>
          <w:tcPr>
            <w:tcW w:w="371" w:type="dxa"/>
            <w:vMerge w:val="restart"/>
            <w:tcBorders>
              <w:top w:val="nil"/>
              <w:left w:val="nil"/>
              <w:bottom w:val="nil"/>
              <w:right w:val="nil"/>
            </w:tcBorders>
            <w:vAlign w:val="center"/>
          </w:tcPr>
          <w:p w14:paraId="2FE367C2">
            <w:pPr>
              <w:spacing w:after="120"/>
              <w:jc w:val="center"/>
              <w:rPr>
                <w:sz w:val="24"/>
                <w:szCs w:val="24"/>
              </w:rPr>
            </w:pPr>
            <w:r>
              <w:rPr>
                <w:sz w:val="24"/>
                <w:szCs w:val="24"/>
              </w:rPr>
              <w:t>=</w:t>
            </w:r>
          </w:p>
        </w:tc>
        <w:tc>
          <w:tcPr>
            <w:tcW w:w="3011" w:type="dxa"/>
            <w:tcBorders>
              <w:top w:val="nil"/>
              <w:left w:val="nil"/>
              <w:bottom w:val="single" w:color="000000" w:sz="8" w:space="0"/>
              <w:right w:val="nil"/>
            </w:tcBorders>
            <w:vAlign w:val="bottom"/>
          </w:tcPr>
          <w:p w14:paraId="42103A78">
            <w:pPr>
              <w:spacing w:after="120"/>
              <w:jc w:val="center"/>
              <w:rPr>
                <w:sz w:val="24"/>
                <w:szCs w:val="24"/>
              </w:rPr>
            </w:pPr>
            <w:r>
              <w:rPr>
                <w:sz w:val="24"/>
                <w:szCs w:val="24"/>
              </w:rPr>
              <w:t>Tiền lương giờ thực trả của công việc đang làm vào ngày làm việc bình thường 01 tháng</w:t>
            </w:r>
          </w:p>
        </w:tc>
        <w:tc>
          <w:tcPr>
            <w:tcW w:w="2471" w:type="dxa"/>
            <w:vMerge w:val="restart"/>
            <w:tcBorders>
              <w:top w:val="nil"/>
              <w:left w:val="nil"/>
              <w:bottom w:val="nil"/>
              <w:right w:val="nil"/>
            </w:tcBorders>
            <w:vAlign w:val="center"/>
          </w:tcPr>
          <w:p w14:paraId="039FE1E4">
            <w:pPr>
              <w:spacing w:after="120"/>
              <w:jc w:val="center"/>
              <w:rPr>
                <w:sz w:val="24"/>
                <w:szCs w:val="24"/>
              </w:rPr>
            </w:pPr>
          </w:p>
          <w:p w14:paraId="27A9A891">
            <w:pPr>
              <w:spacing w:after="120"/>
              <w:jc w:val="center"/>
              <w:rPr>
                <w:sz w:val="24"/>
                <w:szCs w:val="24"/>
              </w:rPr>
            </w:pPr>
            <w:r>
              <w:rPr>
                <w:sz w:val="24"/>
                <w:szCs w:val="24"/>
              </w:rPr>
              <w:t>x số giờ làm thêm</w:t>
            </w:r>
          </w:p>
          <w:p w14:paraId="32B49A1E">
            <w:pPr>
              <w:spacing w:after="120"/>
              <w:rPr>
                <w:sz w:val="24"/>
                <w:szCs w:val="24"/>
              </w:rPr>
            </w:pPr>
          </w:p>
        </w:tc>
        <w:tc>
          <w:tcPr>
            <w:tcW w:w="1588" w:type="dxa"/>
            <w:vMerge w:val="restart"/>
            <w:tcBorders>
              <w:top w:val="nil"/>
              <w:left w:val="nil"/>
              <w:right w:val="nil"/>
            </w:tcBorders>
          </w:tcPr>
          <w:p w14:paraId="558949C3">
            <w:pPr>
              <w:spacing w:after="120"/>
              <w:rPr>
                <w:sz w:val="24"/>
                <w:szCs w:val="24"/>
              </w:rPr>
            </w:pPr>
          </w:p>
          <w:p w14:paraId="0EDFA804">
            <w:pPr>
              <w:spacing w:after="120"/>
              <w:rPr>
                <w:sz w:val="24"/>
                <w:szCs w:val="24"/>
              </w:rPr>
            </w:pPr>
            <w:r>
              <w:rPr>
                <w:sz w:val="24"/>
                <w:szCs w:val="24"/>
              </w:rPr>
              <w:t xml:space="preserve">x 150% </w:t>
            </w:r>
          </w:p>
          <w:p w14:paraId="353D63B1">
            <w:pPr>
              <w:spacing w:after="120"/>
              <w:rPr>
                <w:sz w:val="24"/>
                <w:szCs w:val="24"/>
              </w:rPr>
            </w:pPr>
            <w:r>
              <w:rPr>
                <w:sz w:val="24"/>
                <w:szCs w:val="24"/>
              </w:rPr>
              <w:t>hoặc 200%</w:t>
            </w:r>
          </w:p>
          <w:p w14:paraId="0F2646A9">
            <w:pPr>
              <w:spacing w:after="120"/>
              <w:rPr>
                <w:sz w:val="24"/>
                <w:szCs w:val="24"/>
              </w:rPr>
            </w:pPr>
            <w:r>
              <w:rPr>
                <w:sz w:val="24"/>
                <w:szCs w:val="24"/>
              </w:rPr>
              <w:t xml:space="preserve"> hoặc 300%</w:t>
            </w:r>
          </w:p>
        </w:tc>
      </w:tr>
      <w:tr w14:paraId="4180D447">
        <w:tblPrEx>
          <w:tblCellMar>
            <w:top w:w="0" w:type="dxa"/>
            <w:left w:w="115" w:type="dxa"/>
            <w:bottom w:w="0" w:type="dxa"/>
            <w:right w:w="115" w:type="dxa"/>
          </w:tblCellMar>
        </w:tblPrEx>
        <w:trPr>
          <w:trHeight w:val="660" w:hRule="atLeast"/>
        </w:trPr>
        <w:tc>
          <w:tcPr>
            <w:tcW w:w="1653" w:type="dxa"/>
            <w:vMerge w:val="continue"/>
            <w:tcBorders>
              <w:top w:val="nil"/>
              <w:left w:val="nil"/>
              <w:bottom w:val="nil"/>
              <w:right w:val="nil"/>
            </w:tcBorders>
            <w:vAlign w:val="center"/>
          </w:tcPr>
          <w:p w14:paraId="7C9D8C31">
            <w:pPr>
              <w:widowControl w:val="0"/>
              <w:spacing w:line="276" w:lineRule="auto"/>
              <w:rPr>
                <w:sz w:val="24"/>
                <w:szCs w:val="24"/>
              </w:rPr>
            </w:pPr>
          </w:p>
        </w:tc>
        <w:tc>
          <w:tcPr>
            <w:tcW w:w="371" w:type="dxa"/>
            <w:vMerge w:val="continue"/>
            <w:tcBorders>
              <w:top w:val="nil"/>
              <w:left w:val="nil"/>
              <w:bottom w:val="nil"/>
              <w:right w:val="nil"/>
            </w:tcBorders>
            <w:vAlign w:val="center"/>
          </w:tcPr>
          <w:p w14:paraId="431822B2">
            <w:pPr>
              <w:widowControl w:val="0"/>
              <w:spacing w:line="276" w:lineRule="auto"/>
              <w:rPr>
                <w:sz w:val="24"/>
                <w:szCs w:val="24"/>
              </w:rPr>
            </w:pPr>
          </w:p>
        </w:tc>
        <w:tc>
          <w:tcPr>
            <w:tcW w:w="3011" w:type="dxa"/>
            <w:tcBorders>
              <w:top w:val="nil"/>
              <w:left w:val="nil"/>
              <w:bottom w:val="nil"/>
              <w:right w:val="nil"/>
            </w:tcBorders>
            <w:vAlign w:val="center"/>
          </w:tcPr>
          <w:p w14:paraId="0FF7D9EA">
            <w:pPr>
              <w:spacing w:after="120"/>
              <w:rPr>
                <w:sz w:val="24"/>
                <w:szCs w:val="24"/>
              </w:rPr>
            </w:pPr>
            <w:r>
              <w:rPr>
                <w:sz w:val="24"/>
                <w:szCs w:val="24"/>
              </w:rPr>
              <w:t>22 ngày x 8 giờ</w:t>
            </w:r>
          </w:p>
        </w:tc>
        <w:tc>
          <w:tcPr>
            <w:tcW w:w="2471" w:type="dxa"/>
            <w:vMerge w:val="continue"/>
            <w:tcBorders>
              <w:top w:val="nil"/>
              <w:left w:val="nil"/>
              <w:bottom w:val="nil"/>
              <w:right w:val="nil"/>
            </w:tcBorders>
            <w:vAlign w:val="center"/>
          </w:tcPr>
          <w:p w14:paraId="326F91EB">
            <w:pPr>
              <w:widowControl w:val="0"/>
              <w:spacing w:line="276" w:lineRule="auto"/>
              <w:rPr>
                <w:sz w:val="24"/>
                <w:szCs w:val="24"/>
              </w:rPr>
            </w:pPr>
          </w:p>
        </w:tc>
        <w:tc>
          <w:tcPr>
            <w:tcW w:w="1588" w:type="dxa"/>
            <w:vMerge w:val="continue"/>
            <w:tcBorders>
              <w:top w:val="nil"/>
              <w:left w:val="nil"/>
              <w:right w:val="nil"/>
            </w:tcBorders>
          </w:tcPr>
          <w:p w14:paraId="7D3DA8C7">
            <w:pPr>
              <w:widowControl w:val="0"/>
              <w:spacing w:line="276" w:lineRule="auto"/>
              <w:rPr>
                <w:sz w:val="24"/>
                <w:szCs w:val="24"/>
              </w:rPr>
            </w:pPr>
          </w:p>
        </w:tc>
      </w:tr>
    </w:tbl>
    <w:p w14:paraId="065C768C">
      <w:pPr>
        <w:spacing w:before="120" w:after="120"/>
        <w:ind w:firstLine="720"/>
        <w:rPr>
          <w:b/>
          <w:bCs/>
          <w:i/>
          <w:iCs/>
          <w:color w:val="000000"/>
        </w:rPr>
      </w:pPr>
      <w:r>
        <w:rPr>
          <w:b/>
          <w:bCs/>
          <w:i/>
          <w:iCs/>
          <w:color w:val="000000"/>
        </w:rPr>
        <w:t xml:space="preserve">Trong đó: </w:t>
      </w:r>
    </w:p>
    <w:p w14:paraId="243C88AA">
      <w:pPr>
        <w:spacing w:before="120" w:after="120"/>
        <w:ind w:firstLine="720"/>
      </w:pPr>
      <w:r>
        <w:t xml:space="preserve">Tiền lương giờ thực trả của công việc đang làm vào ngày làm việc bình thường gồm (Lương NB+PCKV+PCCV+PCTNVK); </w:t>
      </w:r>
    </w:p>
    <w:p w14:paraId="4153B740">
      <w:pPr>
        <w:shd w:val="clear" w:color="auto" w:fill="FFFFFF"/>
        <w:spacing w:before="120" w:after="120"/>
        <w:ind w:firstLine="720"/>
        <w:jc w:val="both"/>
        <w:rPr>
          <w:rFonts w:ascii="time news roman" w:hAnsi="time news roman" w:cs="time news roman"/>
          <w:color w:val="000000"/>
        </w:rPr>
      </w:pPr>
      <w:r>
        <w:rPr>
          <w:color w:val="000000"/>
        </w:rPr>
        <w:t>Mức 150% áp dụng đối với làm thêm vào ngày thường;</w:t>
      </w:r>
    </w:p>
    <w:p w14:paraId="43A9F5C1">
      <w:pPr>
        <w:shd w:val="clear" w:color="auto" w:fill="FFFFFF"/>
        <w:spacing w:before="120" w:after="120"/>
        <w:ind w:firstLine="720"/>
        <w:jc w:val="both"/>
        <w:rPr>
          <w:rFonts w:ascii="time news roman" w:hAnsi="time news roman" w:cs="time news roman"/>
          <w:color w:val="000000"/>
        </w:rPr>
      </w:pPr>
      <w:r>
        <w:rPr>
          <w:color w:val="000000"/>
        </w:rPr>
        <w:t>Mức 200% áp dụng đối với làm thêm vào ngày nghỉ hàng tuần;</w:t>
      </w:r>
    </w:p>
    <w:p w14:paraId="6A45CF58">
      <w:pPr>
        <w:shd w:val="clear" w:color="auto" w:fill="FFFFFF"/>
        <w:spacing w:before="120" w:after="120"/>
        <w:ind w:firstLine="720"/>
        <w:jc w:val="both"/>
      </w:pPr>
      <w:r>
        <w:rPr>
          <w:color w:val="000000"/>
        </w:rPr>
        <w:t xml:space="preserve">Mức 300% </w:t>
      </w:r>
      <w:r>
        <w:t>áp dụng đối với giờ làm thêm vào ngày nghỉ lễ, tết;</w:t>
      </w:r>
    </w:p>
    <w:p w14:paraId="133041D5">
      <w:pPr>
        <w:spacing w:before="120" w:after="120"/>
        <w:ind w:firstLine="560"/>
        <w:jc w:val="both"/>
      </w:pPr>
      <w:r>
        <w:t>- Thời gian thanh toán: Theo tháng.</w:t>
      </w:r>
    </w:p>
    <w:p w14:paraId="3D5A3A35">
      <w:pPr>
        <w:spacing w:before="120" w:after="120"/>
        <w:ind w:firstLine="560"/>
        <w:jc w:val="both"/>
        <w:rPr>
          <w:color w:val="000000"/>
        </w:rPr>
      </w:pPr>
      <w:r>
        <w:t xml:space="preserve">-  Thủ trưởng đơn vị khi tổ chức làm thêm giờ phải được sự đồng ý của cán bộ, giáo viên, nhân viên, người lao động khi tham gia làm thêm giờ theo </w:t>
      </w:r>
      <w:r>
        <w:rPr>
          <w:color w:val="000000"/>
        </w:rPr>
        <w:t xml:space="preserve">Điều 59 của Nghị định số 145/2020/NĐ-CP. Chỉ bố trí làm thêm giờ sau khi CB, GV,NV, người lao động đã hoàn thành phần công việc của mình với những công việc cần thiết hoặc có tính đột xuất trên cơ sở đảm bảo tiết kiệm và có hiệu quả. </w:t>
      </w:r>
    </w:p>
    <w:p w14:paraId="4977D513">
      <w:pPr>
        <w:spacing w:before="120" w:after="120"/>
        <w:ind w:firstLine="560"/>
        <w:jc w:val="both"/>
        <w:rPr>
          <w:color w:val="000000"/>
        </w:rPr>
      </w:pPr>
      <w:r>
        <w:rPr>
          <w:color w:val="000000"/>
        </w:rPr>
        <w:t>- Giới hạn số giờ làm thêm: Quy định tại Điều 60 của Nghị định số 145/2020/NĐ-CP.</w:t>
      </w:r>
    </w:p>
    <w:p w14:paraId="1536213B">
      <w:pPr>
        <w:spacing w:before="120" w:after="120"/>
        <w:ind w:firstLine="560"/>
        <w:jc w:val="both"/>
      </w:pPr>
      <w:r>
        <w:t>+ Tổng số giờ làm thêm không quá 50% số giờ làm việc bình thường ( không quá 04 giờ) trong 01 ngày khi làm thêm vào ngày làm việc bình thường;</w:t>
      </w:r>
    </w:p>
    <w:p w14:paraId="58A59A6A">
      <w:pPr>
        <w:spacing w:before="120" w:after="120"/>
        <w:ind w:firstLine="560"/>
        <w:jc w:val="both"/>
      </w:pPr>
      <w:r>
        <w:t>+ Tổng số giờ làm thêm không quá 12 giờ trong 01 ngày, khi làm thêm vào ngày nghỉ lễ, tết và ngày nghỉ hằng tuần;</w:t>
      </w:r>
    </w:p>
    <w:p w14:paraId="6421C75F">
      <w:pPr>
        <w:spacing w:before="120" w:after="120"/>
        <w:ind w:firstLine="560"/>
        <w:jc w:val="both"/>
        <w:rPr>
          <w:color w:val="FF0000"/>
        </w:rPr>
      </w:pPr>
      <w:r>
        <w:t xml:space="preserve">+ Tổng số giờ làm thêm không quá 40 giờ trong 01 tháng, không quá 200 giờ trong 01 năm theo </w:t>
      </w:r>
      <w:r>
        <w:rPr>
          <w:color w:val="000000"/>
        </w:rPr>
        <w:t xml:space="preserve">khoản 2 Điều 107 của Bộ Luật lao động số 45/2019/QH14 ngày 20/11/2019 của Quốc hội. </w:t>
      </w:r>
      <w:r>
        <w:t xml:space="preserve">Các trường hợp được tổ chức làm thêm từ trên 200 giờ đến 300 giờ trong một năm </w:t>
      </w:r>
      <w:r>
        <w:rPr>
          <w:color w:val="000000"/>
        </w:rPr>
        <w:t>theo Điều 61 của Nghị định số 145/2020/NĐ-CP</w:t>
      </w:r>
      <w:r>
        <w:rPr>
          <w:color w:val="FF0000"/>
        </w:rPr>
        <w:t>.</w:t>
      </w:r>
    </w:p>
    <w:p w14:paraId="7EEA72CE">
      <w:pPr>
        <w:spacing w:before="120" w:after="120"/>
        <w:ind w:firstLine="560"/>
        <w:jc w:val="both"/>
      </w:pPr>
      <w:r>
        <w:rPr>
          <w:b/>
          <w:bCs/>
        </w:rPr>
        <w:t xml:space="preserve">4. Chế độ cho giáo viên dạy lớp khuyết tật hòa nhập: </w:t>
      </w:r>
      <w:r>
        <w:rPr>
          <w:color w:val="000000"/>
        </w:rPr>
        <w:t xml:space="preserve">Áp dụng theo Nghị định số 28/2012/NĐ-CP ngày 28/2012/NĐ-CP ngày 10/4/2012 của Chính phủ </w:t>
      </w:r>
      <w:r>
        <w:t>quy định chi tiết và hướng dẫn thi hành một số điều của Luật người khuyết tật.</w:t>
      </w:r>
    </w:p>
    <w:p w14:paraId="03434D3D">
      <w:pPr>
        <w:spacing w:before="120" w:after="120"/>
        <w:ind w:firstLine="560"/>
        <w:jc w:val="both"/>
        <w:rPr>
          <w:b/>
          <w:bCs/>
        </w:rPr>
      </w:pPr>
      <w:r>
        <w:rPr>
          <w:b/>
          <w:bCs/>
        </w:rPr>
        <w:t>Công thức chung để tính:</w:t>
      </w:r>
    </w:p>
    <w:tbl>
      <w:tblPr>
        <w:tblStyle w:val="9"/>
        <w:tblW w:w="9378" w:type="dxa"/>
        <w:tblInd w:w="-113" w:type="dxa"/>
        <w:tblLayout w:type="fixed"/>
        <w:tblCellMar>
          <w:top w:w="0" w:type="dxa"/>
          <w:left w:w="115" w:type="dxa"/>
          <w:bottom w:w="0" w:type="dxa"/>
          <w:right w:w="115" w:type="dxa"/>
        </w:tblCellMar>
      </w:tblPr>
      <w:tblGrid>
        <w:gridCol w:w="2566"/>
        <w:gridCol w:w="374"/>
        <w:gridCol w:w="2327"/>
        <w:gridCol w:w="850"/>
        <w:gridCol w:w="3261"/>
      </w:tblGrid>
      <w:tr w14:paraId="5A69DB19">
        <w:tblPrEx>
          <w:tblCellMar>
            <w:top w:w="0" w:type="dxa"/>
            <w:left w:w="115" w:type="dxa"/>
            <w:bottom w:w="0" w:type="dxa"/>
            <w:right w:w="115" w:type="dxa"/>
          </w:tblCellMar>
        </w:tblPrEx>
        <w:trPr>
          <w:trHeight w:val="781" w:hRule="atLeast"/>
        </w:trPr>
        <w:tc>
          <w:tcPr>
            <w:tcW w:w="2566" w:type="dxa"/>
            <w:vAlign w:val="center"/>
          </w:tcPr>
          <w:p w14:paraId="47F6CF23">
            <w:pPr>
              <w:spacing w:before="120" w:after="120"/>
              <w:jc w:val="center"/>
              <w:rPr>
                <w:sz w:val="24"/>
                <w:szCs w:val="24"/>
              </w:rPr>
            </w:pPr>
            <w:r>
              <w:rPr>
                <w:sz w:val="24"/>
                <w:szCs w:val="24"/>
              </w:rPr>
              <w:t>Phụ cấp ưu đãi giảng dạy người khuyết tật</w:t>
            </w:r>
          </w:p>
        </w:tc>
        <w:tc>
          <w:tcPr>
            <w:tcW w:w="374" w:type="dxa"/>
            <w:vAlign w:val="center"/>
          </w:tcPr>
          <w:p w14:paraId="62755179">
            <w:pPr>
              <w:spacing w:before="120" w:after="120"/>
              <w:jc w:val="center"/>
              <w:rPr>
                <w:sz w:val="24"/>
                <w:szCs w:val="24"/>
              </w:rPr>
            </w:pPr>
            <w:r>
              <w:rPr>
                <w:sz w:val="24"/>
                <w:szCs w:val="24"/>
              </w:rPr>
              <w:t>=</w:t>
            </w:r>
          </w:p>
        </w:tc>
        <w:tc>
          <w:tcPr>
            <w:tcW w:w="2327" w:type="dxa"/>
            <w:vAlign w:val="bottom"/>
          </w:tcPr>
          <w:p w14:paraId="49C3850B">
            <w:pPr>
              <w:spacing w:before="120" w:after="120"/>
              <w:jc w:val="center"/>
              <w:rPr>
                <w:sz w:val="24"/>
                <w:szCs w:val="24"/>
              </w:rPr>
            </w:pPr>
            <w:r>
              <w:rPr>
                <w:sz w:val="24"/>
                <w:szCs w:val="24"/>
              </w:rPr>
              <w:t>Tiền lương 01 giờ dạy của giáo viên</w:t>
            </w:r>
          </w:p>
        </w:tc>
        <w:tc>
          <w:tcPr>
            <w:tcW w:w="850" w:type="dxa"/>
            <w:vAlign w:val="center"/>
          </w:tcPr>
          <w:p w14:paraId="6CD3DB06">
            <w:pPr>
              <w:spacing w:before="120" w:after="120"/>
              <w:rPr>
                <w:sz w:val="24"/>
                <w:szCs w:val="24"/>
              </w:rPr>
            </w:pPr>
            <w:r>
              <w:rPr>
                <w:sz w:val="24"/>
                <w:szCs w:val="24"/>
              </w:rPr>
              <w:t>x 0,2</w:t>
            </w:r>
          </w:p>
          <w:p w14:paraId="168661D4">
            <w:pPr>
              <w:spacing w:before="120" w:after="120"/>
              <w:jc w:val="center"/>
              <w:rPr>
                <w:sz w:val="24"/>
                <w:szCs w:val="24"/>
              </w:rPr>
            </w:pPr>
          </w:p>
        </w:tc>
        <w:tc>
          <w:tcPr>
            <w:tcW w:w="3261" w:type="dxa"/>
          </w:tcPr>
          <w:p w14:paraId="3C63C42E">
            <w:pPr>
              <w:spacing w:before="120" w:after="120"/>
              <w:jc w:val="center"/>
              <w:rPr>
                <w:sz w:val="24"/>
                <w:szCs w:val="24"/>
              </w:rPr>
            </w:pPr>
            <w:r>
              <w:rPr>
                <w:sz w:val="24"/>
                <w:szCs w:val="24"/>
              </w:rPr>
              <w:t>x Tổng số giờ thực tế giảng dạy ở lớp có người khuyết tật</w:t>
            </w:r>
          </w:p>
        </w:tc>
      </w:tr>
    </w:tbl>
    <w:p w14:paraId="2A072560">
      <w:pPr>
        <w:spacing w:after="120"/>
        <w:ind w:firstLine="720"/>
        <w:jc w:val="both"/>
        <w:rPr>
          <w:sz w:val="24"/>
          <w:szCs w:val="24"/>
        </w:rPr>
      </w:pPr>
      <w:r>
        <w:rPr>
          <w:sz w:val="24"/>
          <w:szCs w:val="24"/>
        </w:rPr>
        <w:t xml:space="preserve">Tiền lương 01 giờ dạy:  </w:t>
      </w:r>
    </w:p>
    <w:tbl>
      <w:tblPr>
        <w:tblStyle w:val="9"/>
        <w:tblW w:w="9352" w:type="dxa"/>
        <w:tblInd w:w="-113" w:type="dxa"/>
        <w:tblLayout w:type="fixed"/>
        <w:tblCellMar>
          <w:top w:w="0" w:type="dxa"/>
          <w:left w:w="115" w:type="dxa"/>
          <w:bottom w:w="0" w:type="dxa"/>
          <w:right w:w="115" w:type="dxa"/>
        </w:tblCellMar>
      </w:tblPr>
      <w:tblGrid>
        <w:gridCol w:w="1843"/>
        <w:gridCol w:w="757"/>
        <w:gridCol w:w="3420"/>
        <w:gridCol w:w="824"/>
        <w:gridCol w:w="2508"/>
      </w:tblGrid>
      <w:tr w14:paraId="3502F579">
        <w:tblPrEx>
          <w:tblCellMar>
            <w:top w:w="0" w:type="dxa"/>
            <w:left w:w="115" w:type="dxa"/>
            <w:bottom w:w="0" w:type="dxa"/>
            <w:right w:w="115" w:type="dxa"/>
          </w:tblCellMar>
        </w:tblPrEx>
        <w:tc>
          <w:tcPr>
            <w:tcW w:w="1843" w:type="dxa"/>
            <w:vMerge w:val="restart"/>
          </w:tcPr>
          <w:p w14:paraId="6F319ECD">
            <w:pPr>
              <w:spacing w:after="120"/>
              <w:jc w:val="center"/>
              <w:rPr>
                <w:sz w:val="24"/>
                <w:szCs w:val="24"/>
              </w:rPr>
            </w:pPr>
          </w:p>
          <w:p w14:paraId="5DA610E3">
            <w:pPr>
              <w:spacing w:after="120"/>
              <w:jc w:val="center"/>
              <w:rPr>
                <w:sz w:val="24"/>
                <w:szCs w:val="24"/>
              </w:rPr>
            </w:pPr>
            <w:r>
              <w:rPr>
                <w:sz w:val="24"/>
                <w:szCs w:val="24"/>
              </w:rPr>
              <w:t>Tiền lương 01 giờ dạy</w:t>
            </w:r>
          </w:p>
        </w:tc>
        <w:tc>
          <w:tcPr>
            <w:tcW w:w="757" w:type="dxa"/>
            <w:vMerge w:val="restart"/>
          </w:tcPr>
          <w:p w14:paraId="46E2BC64">
            <w:pPr>
              <w:spacing w:after="120"/>
              <w:jc w:val="center"/>
              <w:rPr>
                <w:sz w:val="24"/>
                <w:szCs w:val="24"/>
              </w:rPr>
            </w:pPr>
          </w:p>
          <w:p w14:paraId="03621FB3">
            <w:pPr>
              <w:spacing w:after="120"/>
              <w:jc w:val="center"/>
              <w:rPr>
                <w:sz w:val="24"/>
                <w:szCs w:val="24"/>
              </w:rPr>
            </w:pPr>
          </w:p>
          <w:p w14:paraId="6666C18F">
            <w:pPr>
              <w:spacing w:after="120"/>
              <w:jc w:val="center"/>
              <w:rPr>
                <w:sz w:val="24"/>
                <w:szCs w:val="24"/>
              </w:rPr>
            </w:pPr>
            <w:r>
              <w:rPr>
                <w:sz w:val="24"/>
                <w:szCs w:val="24"/>
              </w:rPr>
              <w:t>=</w:t>
            </w:r>
          </w:p>
        </w:tc>
        <w:tc>
          <w:tcPr>
            <w:tcW w:w="3420" w:type="dxa"/>
          </w:tcPr>
          <w:p w14:paraId="0F1C793F">
            <w:pPr>
              <w:spacing w:after="120"/>
              <w:jc w:val="center"/>
              <w:rPr>
                <w:sz w:val="24"/>
                <w:szCs w:val="24"/>
              </w:rPr>
            </w:pPr>
            <w:r>
              <w:rPr>
                <w:sz w:val="24"/>
                <w:szCs w:val="24"/>
              </w:rPr>
              <w:t>Tổng tiền lương của 12 tháng trong năm (tính từ tháng 7 năm trước đến tháng 6 năm liền kề)</w:t>
            </w:r>
          </w:p>
        </w:tc>
        <w:tc>
          <w:tcPr>
            <w:tcW w:w="824" w:type="dxa"/>
            <w:vMerge w:val="restart"/>
          </w:tcPr>
          <w:p w14:paraId="526427BF">
            <w:pPr>
              <w:spacing w:after="120"/>
              <w:jc w:val="center"/>
              <w:rPr>
                <w:sz w:val="24"/>
                <w:szCs w:val="24"/>
              </w:rPr>
            </w:pPr>
          </w:p>
          <w:p w14:paraId="6755BDA0">
            <w:pPr>
              <w:spacing w:after="120"/>
              <w:jc w:val="center"/>
              <w:rPr>
                <w:sz w:val="24"/>
                <w:szCs w:val="24"/>
              </w:rPr>
            </w:pPr>
          </w:p>
          <w:p w14:paraId="5F588AE6">
            <w:pPr>
              <w:spacing w:after="120"/>
              <w:jc w:val="center"/>
              <w:rPr>
                <w:sz w:val="24"/>
                <w:szCs w:val="24"/>
              </w:rPr>
            </w:pPr>
            <w:r>
              <w:rPr>
                <w:sz w:val="24"/>
                <w:szCs w:val="24"/>
              </w:rPr>
              <w:t>x</w:t>
            </w:r>
          </w:p>
        </w:tc>
        <w:tc>
          <w:tcPr>
            <w:tcW w:w="2508" w:type="dxa"/>
          </w:tcPr>
          <w:p w14:paraId="62D58959">
            <w:pPr>
              <w:spacing w:after="120"/>
              <w:jc w:val="center"/>
              <w:rPr>
                <w:sz w:val="24"/>
                <w:szCs w:val="24"/>
              </w:rPr>
            </w:pPr>
            <w:r>
              <w:rPr>
                <w:sz w:val="24"/>
                <w:szCs w:val="24"/>
              </w:rPr>
              <w:t>Số tuần dành cho giảng dạy (35 tuần)</w:t>
            </w:r>
          </w:p>
        </w:tc>
      </w:tr>
      <w:tr w14:paraId="6B1591B5">
        <w:tblPrEx>
          <w:tblCellMar>
            <w:top w:w="0" w:type="dxa"/>
            <w:left w:w="115" w:type="dxa"/>
            <w:bottom w:w="0" w:type="dxa"/>
            <w:right w:w="115" w:type="dxa"/>
          </w:tblCellMar>
        </w:tblPrEx>
        <w:tc>
          <w:tcPr>
            <w:tcW w:w="1843" w:type="dxa"/>
            <w:vMerge w:val="continue"/>
          </w:tcPr>
          <w:p w14:paraId="4D8FEA23">
            <w:pPr>
              <w:widowControl w:val="0"/>
              <w:rPr>
                <w:sz w:val="24"/>
                <w:szCs w:val="24"/>
              </w:rPr>
            </w:pPr>
          </w:p>
        </w:tc>
        <w:tc>
          <w:tcPr>
            <w:tcW w:w="757" w:type="dxa"/>
            <w:vMerge w:val="continue"/>
          </w:tcPr>
          <w:p w14:paraId="25162FFC">
            <w:pPr>
              <w:widowControl w:val="0"/>
              <w:rPr>
                <w:sz w:val="24"/>
                <w:szCs w:val="24"/>
              </w:rPr>
            </w:pPr>
          </w:p>
        </w:tc>
        <w:tc>
          <w:tcPr>
            <w:tcW w:w="3420" w:type="dxa"/>
          </w:tcPr>
          <w:p w14:paraId="5F3BA645">
            <w:pPr>
              <w:spacing w:after="120"/>
              <w:jc w:val="center"/>
              <w:rPr>
                <w:sz w:val="24"/>
                <w:szCs w:val="24"/>
              </w:rPr>
            </w:pPr>
            <w:r>
              <w:rPr>
                <w:sz w:val="24"/>
                <w:szCs w:val="24"/>
              </w:rPr>
              <w:t xml:space="preserve">Định  mức giờ dạy/năm </w:t>
            </w:r>
            <w:r>
              <w:drawing>
                <wp:anchor distT="0" distB="0" distL="114300" distR="114300" simplePos="0" relativeHeight="251661312" behindDoc="0" locked="0" layoutInCell="1" allowOverlap="1">
                  <wp:simplePos x="0" y="0"/>
                  <wp:positionH relativeFrom="column">
                    <wp:posOffset>-50800</wp:posOffset>
                  </wp:positionH>
                  <wp:positionV relativeFrom="paragraph">
                    <wp:posOffset>0</wp:posOffset>
                  </wp:positionV>
                  <wp:extent cx="0" cy="127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a:extLst>
                              <a:ext uri="{28A0092B-C50C-407E-A947-70E740481C1C}">
                                <a14:useLocalDpi xmlns:a14="http://schemas.microsoft.com/office/drawing/2010/main" val="0"/>
                              </a:ext>
                            </a:extLst>
                          </a:blip>
                          <a:srcRect/>
                          <a:stretch>
                            <a:fillRect/>
                          </a:stretch>
                        </pic:blipFill>
                        <pic:spPr>
                          <a:xfrm>
                            <a:off x="0" y="0"/>
                            <a:ext cx="0" cy="12700"/>
                          </a:xfrm>
                          <a:prstGeom prst="rect">
                            <a:avLst/>
                          </a:prstGeom>
                          <a:noFill/>
                        </pic:spPr>
                      </pic:pic>
                    </a:graphicData>
                  </a:graphic>
                </wp:anchor>
              </w:drawing>
            </w:r>
          </w:p>
          <w:p w14:paraId="0E668919">
            <w:pPr>
              <w:spacing w:after="120"/>
              <w:jc w:val="center"/>
              <w:rPr>
                <w:sz w:val="24"/>
                <w:szCs w:val="24"/>
              </w:rPr>
            </w:pPr>
            <w:r>
              <w:rPr>
                <w:sz w:val="24"/>
                <w:szCs w:val="24"/>
              </w:rPr>
              <w:t>( 23 tiết x 35 tuần )</w:t>
            </w:r>
          </w:p>
        </w:tc>
        <w:tc>
          <w:tcPr>
            <w:tcW w:w="824" w:type="dxa"/>
            <w:vMerge w:val="continue"/>
          </w:tcPr>
          <w:p w14:paraId="0EA64A5E">
            <w:pPr>
              <w:widowControl w:val="0"/>
              <w:rPr>
                <w:sz w:val="24"/>
                <w:szCs w:val="24"/>
              </w:rPr>
            </w:pPr>
          </w:p>
        </w:tc>
        <w:tc>
          <w:tcPr>
            <w:tcW w:w="2508" w:type="dxa"/>
          </w:tcPr>
          <w:p w14:paraId="1C7FBA2A">
            <w:pPr>
              <w:spacing w:after="120"/>
              <w:jc w:val="center"/>
              <w:rPr>
                <w:sz w:val="24"/>
                <w:szCs w:val="24"/>
              </w:rPr>
            </w:pPr>
            <w:r>
              <w:rPr>
                <w:sz w:val="24"/>
                <w:szCs w:val="24"/>
              </w:rPr>
              <w:t>52 tuần</w:t>
            </w:r>
            <w:r>
              <w:drawing>
                <wp:anchor distT="0" distB="0" distL="114300" distR="114300" simplePos="0" relativeHeight="251662336" behindDoc="0" locked="0" layoutInCell="1" allowOverlap="1">
                  <wp:simplePos x="0" y="0"/>
                  <wp:positionH relativeFrom="column">
                    <wp:posOffset>101600</wp:posOffset>
                  </wp:positionH>
                  <wp:positionV relativeFrom="paragraph">
                    <wp:posOffset>0</wp:posOffset>
                  </wp:positionV>
                  <wp:extent cx="0" cy="12700"/>
                  <wp:effectExtent l="0" t="0" r="0" b="0"/>
                  <wp:wrapNone/>
                  <wp:docPr id="7" name="image11.png"/>
                  <wp:cNvGraphicFramePr/>
                  <a:graphic xmlns:a="http://schemas.openxmlformats.org/drawingml/2006/main">
                    <a:graphicData uri="http://schemas.openxmlformats.org/drawingml/2006/picture">
                      <pic:pic xmlns:pic="http://schemas.openxmlformats.org/drawingml/2006/picture">
                        <pic:nvPicPr>
                          <pic:cNvPr id="7" name="image11.png"/>
                          <pic:cNvPicPr/>
                        </pic:nvPicPr>
                        <pic:blipFill>
                          <a:blip r:embed="rId13">
                            <a:extLst>
                              <a:ext uri="{28A0092B-C50C-407E-A947-70E740481C1C}">
                                <a14:useLocalDpi xmlns:a14="http://schemas.microsoft.com/office/drawing/2010/main" val="0"/>
                              </a:ext>
                            </a:extLst>
                          </a:blip>
                          <a:srcRect/>
                          <a:stretch>
                            <a:fillRect/>
                          </a:stretch>
                        </pic:blipFill>
                        <pic:spPr>
                          <a:xfrm>
                            <a:off x="0" y="0"/>
                            <a:ext cx="0" cy="12700"/>
                          </a:xfrm>
                          <a:prstGeom prst="rect">
                            <a:avLst/>
                          </a:prstGeom>
                          <a:noFill/>
                        </pic:spPr>
                      </pic:pic>
                    </a:graphicData>
                  </a:graphic>
                </wp:anchor>
              </w:drawing>
            </w:r>
          </w:p>
        </w:tc>
      </w:tr>
    </w:tbl>
    <w:p w14:paraId="3583AC4A">
      <w:pPr>
        <w:spacing w:after="120"/>
        <w:ind w:firstLine="720"/>
        <w:jc w:val="both"/>
        <w:rPr>
          <w:sz w:val="27"/>
          <w:szCs w:val="27"/>
        </w:rPr>
      </w:pPr>
      <w:r>
        <w:t>- Tổng tiền lương bao gồm: (Lương NB+PCKV+PCCV+PCTNVK+ PC TNN  + PC ưu đãi) x mức lương tối thiếu x 12 tháng</w:t>
      </w:r>
      <w:r>
        <w:rPr>
          <w:sz w:val="27"/>
          <w:szCs w:val="27"/>
        </w:rPr>
        <w:t>.</w:t>
      </w:r>
    </w:p>
    <w:p w14:paraId="17755D24">
      <w:pPr>
        <w:spacing w:after="120"/>
        <w:ind w:firstLine="720"/>
        <w:jc w:val="both"/>
      </w:pPr>
      <w:r>
        <w:t>- Thời gian thanh toán: Theo học kỳ hoặc theo năm.</w:t>
      </w:r>
    </w:p>
    <w:p w14:paraId="141C75DF">
      <w:pPr>
        <w:spacing w:before="120" w:after="120"/>
        <w:ind w:firstLine="567"/>
        <w:jc w:val="both"/>
        <w:rPr>
          <w:b/>
          <w:bCs/>
          <w:color w:val="000000"/>
        </w:rPr>
      </w:pPr>
    </w:p>
    <w:p w14:paraId="22E2B90A">
      <w:pPr>
        <w:spacing w:before="120" w:after="120"/>
        <w:ind w:firstLine="567"/>
        <w:jc w:val="both"/>
      </w:pPr>
      <w:r>
        <w:rPr>
          <w:b/>
          <w:bCs/>
          <w:color w:val="000000"/>
        </w:rPr>
        <w:t>5. Chế độ đối với giáo viên thể dục</w:t>
      </w:r>
      <w:r>
        <w:rPr>
          <w:color w:val="000000"/>
        </w:rPr>
        <w:t xml:space="preserve">: </w:t>
      </w:r>
      <w:r>
        <w:t xml:space="preserve">Chi chế độ bồi dưỡng và trang phục đối với giáo viên thể dục: </w:t>
      </w:r>
      <w:r>
        <w:rPr>
          <w:color w:val="000000"/>
        </w:rPr>
        <w:t>Thực hiện theo Quyết định 51/2012/QĐ - TTg của Thủ tướng chính phủ ngày 16/11/2012 quy định về chế độ bồi dưỡng và chế độ trang phục đối với giáo viên, giảng viên thể dục thể thao</w:t>
      </w:r>
      <w:r>
        <w:t>.</w:t>
      </w:r>
    </w:p>
    <w:p w14:paraId="6EE183FB">
      <w:pPr>
        <w:spacing w:before="120" w:after="120"/>
        <w:ind w:firstLine="567"/>
        <w:jc w:val="both"/>
      </w:pPr>
      <w:r>
        <w:tab/>
      </w:r>
      <w:r>
        <w:t>- Tiền bồi dưỡng tiết dạy thể dục ngoài trời: Mức lương tối thiếu x 1%/tiết</w:t>
      </w:r>
    </w:p>
    <w:p w14:paraId="5C911BBC">
      <w:pPr>
        <w:spacing w:before="120" w:after="120"/>
        <w:ind w:firstLine="567"/>
        <w:jc w:val="both"/>
      </w:pPr>
      <w:r>
        <w:tab/>
      </w:r>
      <w:r>
        <w:t xml:space="preserve">- Chế độ trang phục: </w:t>
      </w:r>
    </w:p>
    <w:p w14:paraId="45E1D656">
      <w:pPr>
        <w:spacing w:before="120" w:after="120"/>
        <w:ind w:firstLine="567"/>
        <w:jc w:val="both"/>
        <w:rPr>
          <w:color w:val="000000"/>
        </w:rPr>
      </w:pPr>
      <w:r>
        <w:rPr>
          <w:color w:val="000000"/>
        </w:rPr>
        <w:tab/>
      </w:r>
      <w:r>
        <w:rPr>
          <w:color w:val="000000"/>
        </w:rPr>
        <w:t>+ Đối với giáo viên chuyên trách: 02 bộ quần áo dài tay/năm, 02 đôi giày thể thao/năm, 04 áo thể thao ngắn tay/năm, 04 đôi tất/năm.</w:t>
      </w:r>
    </w:p>
    <w:p w14:paraId="03E86F52">
      <w:pPr>
        <w:spacing w:before="120" w:after="120"/>
        <w:jc w:val="both"/>
        <w:rPr>
          <w:color w:val="000000"/>
        </w:rPr>
      </w:pPr>
      <w:r>
        <w:rPr>
          <w:color w:val="000000"/>
        </w:rPr>
        <w:t xml:space="preserve">        </w:t>
      </w:r>
      <w:r>
        <w:rPr>
          <w:color w:val="000000"/>
        </w:rPr>
        <w:tab/>
      </w:r>
      <w:r>
        <w:rPr>
          <w:color w:val="000000"/>
        </w:rPr>
        <w:t xml:space="preserve"> + Đối với giáo viên bán chuyên trách: 01 bộ quần áo thể thao dài tay/năm, 01 đôi giày thể thao/năm, 02 đôi tất/năm, 02 áo thể thao ngắn tay/năm.</w:t>
      </w:r>
    </w:p>
    <w:p w14:paraId="07035A9C">
      <w:pPr>
        <w:spacing w:before="120" w:after="120"/>
        <w:ind w:firstLine="562"/>
        <w:jc w:val="both"/>
        <w:rPr>
          <w:b/>
          <w:bCs/>
        </w:rPr>
      </w:pPr>
      <w:r>
        <w:rPr>
          <w:b/>
          <w:bCs/>
        </w:rPr>
        <w:tab/>
      </w:r>
      <w:r>
        <w:rPr>
          <w:b/>
          <w:bCs/>
        </w:rPr>
        <w:t>Điều 5. Các khoản đóng góp theo lương</w:t>
      </w:r>
    </w:p>
    <w:p w14:paraId="26B7C088">
      <w:pPr>
        <w:spacing w:before="120" w:after="120"/>
        <w:ind w:firstLine="562"/>
        <w:jc w:val="both"/>
        <w:rPr>
          <w:b/>
          <w:bCs/>
        </w:rPr>
      </w:pPr>
      <w:r>
        <w:tab/>
      </w:r>
      <w:r>
        <w:t>- Trích nộp BHXH, BHYT, BHTN, KPCĐ thực hiện theo quy định hiện hành của Nhà nước.</w:t>
      </w:r>
    </w:p>
    <w:p w14:paraId="7261DB2C">
      <w:pPr>
        <w:spacing w:before="120" w:after="120"/>
        <w:ind w:firstLine="562"/>
        <w:jc w:val="both"/>
        <w:rPr>
          <w:b/>
          <w:bCs/>
        </w:rPr>
      </w:pPr>
      <w:r>
        <w:rPr>
          <w:b/>
          <w:bCs/>
        </w:rPr>
        <w:tab/>
      </w:r>
      <w:r>
        <w:rPr>
          <w:b/>
          <w:bCs/>
        </w:rPr>
        <w:t xml:space="preserve">Điều 6. Phúc lợi tập thể </w:t>
      </w:r>
    </w:p>
    <w:p w14:paraId="2F2228E9">
      <w:pPr>
        <w:spacing w:before="120" w:after="120"/>
        <w:ind w:firstLine="567"/>
        <w:jc w:val="both"/>
        <w:rPr>
          <w:b/>
          <w:bCs/>
          <w:i/>
          <w:iCs/>
        </w:rPr>
      </w:pPr>
      <w:r>
        <w:rPr>
          <w:b/>
          <w:bCs/>
          <w:i/>
          <w:iCs/>
        </w:rPr>
        <w:tab/>
      </w:r>
      <w:r>
        <w:rPr>
          <w:b/>
          <w:bCs/>
          <w:i/>
          <w:iCs/>
        </w:rPr>
        <w:t>1. Tiền chè nước</w:t>
      </w:r>
    </w:p>
    <w:p w14:paraId="4C884B49">
      <w:pPr>
        <w:spacing w:before="120" w:after="120"/>
        <w:ind w:firstLine="567"/>
        <w:jc w:val="both"/>
      </w:pPr>
      <w:r>
        <w:tab/>
      </w:r>
      <w:r>
        <w:t>- Chi tiền chè, nước văn phòng: Thanh toán theo thực tế trên cơ sở tiết kiệm.</w:t>
      </w:r>
    </w:p>
    <w:p w14:paraId="23BD04CA">
      <w:pPr>
        <w:spacing w:before="120" w:after="120"/>
        <w:ind w:firstLine="567"/>
        <w:jc w:val="both"/>
      </w:pPr>
      <w:r>
        <w:tab/>
      </w:r>
      <w:r>
        <w:t>- Chi tiền nước uống cho CB, GV, NV thanh toán không quá: 30.000đ/người/tháng.</w:t>
      </w:r>
    </w:p>
    <w:p w14:paraId="256D87FC">
      <w:pPr>
        <w:spacing w:before="120" w:after="120"/>
        <w:ind w:firstLine="567"/>
        <w:jc w:val="both"/>
        <w:rPr>
          <w:b/>
          <w:bCs/>
          <w:i/>
          <w:iCs/>
        </w:rPr>
      </w:pPr>
      <w:r>
        <w:rPr>
          <w:b/>
          <w:bCs/>
          <w:i/>
          <w:iCs/>
        </w:rPr>
        <w:tab/>
      </w:r>
      <w:r>
        <w:rPr>
          <w:b/>
          <w:bCs/>
          <w:i/>
          <w:iCs/>
        </w:rPr>
        <w:t>2. Tiền nghỉ phép cho cán bộ, giáo viên, nhân viên</w:t>
      </w:r>
    </w:p>
    <w:p w14:paraId="760696C6">
      <w:pPr>
        <w:spacing w:before="120" w:after="120"/>
        <w:ind w:firstLine="567"/>
        <w:jc w:val="both"/>
        <w:rPr>
          <w:color w:val="000000"/>
        </w:rPr>
      </w:pPr>
      <w:r>
        <w:tab/>
      </w:r>
      <w:r>
        <w:t>Chi tiền nghỉ phép cho cán bộ, giáo viên, nhân viên : Áp dụng theo</w:t>
      </w:r>
      <w:r>
        <w:rPr>
          <w:color w:val="000000"/>
        </w:rPr>
        <w:t>Thông tư 141/2011/TT-BTC ngày 20/10/2011 về việc quy định chế độ thanh toán tiền nghỉ phép hàng năm đối với cán bộ, công chức, viên chức, lao động hợp đồng làm việc trong các cơ quan Nhà nước và đơn vị sự nghiệp công lập và Thông tư 57/2014/TT-BTC ngày 06/5/2014 của Bộ Tài chính về việc Sửa đổi, bổ sung một số điều của Thông tư số 141/2011/TT-BTC quy định về chế độ thanh toán tiền nghỉ phép hàng năm đối với cán bộ, công chức, viên chức, lao động hợp đồng làm việc trong các cơ quan nhà nước và đơn vị sự nghiệp công lập.</w:t>
      </w:r>
    </w:p>
    <w:p w14:paraId="75D32E06">
      <w:pPr>
        <w:spacing w:before="120" w:after="120"/>
        <w:ind w:firstLine="567"/>
        <w:jc w:val="both"/>
        <w:rPr>
          <w:color w:val="000000"/>
        </w:rPr>
      </w:pPr>
      <w:r>
        <w:rPr>
          <w:color w:val="000000"/>
        </w:rPr>
        <w:tab/>
      </w:r>
      <w:r>
        <w:rPr>
          <w:color w:val="000000"/>
        </w:rPr>
        <w:t>Điều kiện thanh toán:</w:t>
      </w:r>
    </w:p>
    <w:p w14:paraId="4199A560">
      <w:pPr>
        <w:spacing w:before="120" w:after="120"/>
        <w:ind w:firstLine="567"/>
        <w:jc w:val="both"/>
        <w:rPr>
          <w:color w:val="000000"/>
          <w:spacing w:val="-12"/>
        </w:rPr>
      </w:pPr>
      <w:r>
        <w:rPr>
          <w:color w:val="000000"/>
          <w:spacing w:val="-12"/>
        </w:rPr>
        <w:tab/>
      </w:r>
      <w:r>
        <w:rPr>
          <w:color w:val="000000"/>
          <w:spacing w:val="-12"/>
        </w:rPr>
        <w:t xml:space="preserve">- Tiền phương tiện đi nghỉ phép hàng năm chỉ được thanh toán mỗi năm một lần. </w:t>
      </w:r>
    </w:p>
    <w:p w14:paraId="3E6A1DD4">
      <w:pPr>
        <w:spacing w:before="120" w:after="120"/>
        <w:ind w:firstLine="567"/>
        <w:jc w:val="both"/>
        <w:rPr>
          <w:color w:val="000000"/>
        </w:rPr>
      </w:pPr>
      <w:r>
        <w:tab/>
      </w:r>
      <w:r>
        <w:t xml:space="preserve">- Nghỉ phép của năm nào chỉ được thanh toán trong năm đó, trường hợp vì công việc được Thủ trưởng đơn vị cho lùi thời gian </w:t>
      </w:r>
      <w:r>
        <w:rPr>
          <w:color w:val="000000"/>
        </w:rPr>
        <w:t xml:space="preserve">nghỉ phép sang năm sau thì cũng được thanh toán tiền nghỉ phép năm, nhưng chỉ được thanh toán trong phạm vi thời gian chỉnh lý ngân sách đến hết 31 tháng 01 năm sau. </w:t>
      </w:r>
    </w:p>
    <w:p w14:paraId="08073293">
      <w:pPr>
        <w:spacing w:before="120" w:after="120"/>
        <w:ind w:firstLine="720"/>
        <w:jc w:val="both"/>
        <w:rPr>
          <w:color w:val="000000"/>
        </w:rPr>
      </w:pPr>
      <w:r>
        <w:rPr>
          <w:color w:val="000000"/>
        </w:rPr>
        <w:t>Thủ tục thanh toán:</w:t>
      </w:r>
    </w:p>
    <w:p w14:paraId="172BDBBD">
      <w:pPr>
        <w:spacing w:before="120" w:after="120"/>
        <w:ind w:firstLine="720"/>
        <w:jc w:val="both"/>
      </w:pPr>
      <w:r>
        <w:rPr>
          <w:color w:val="000000"/>
        </w:rPr>
        <w:t xml:space="preserve">- </w:t>
      </w:r>
      <w:r>
        <w:t>Giấy nghỉ phép năm do Thủ trưởng đơn vị cấp.</w:t>
      </w:r>
    </w:p>
    <w:p w14:paraId="0899AD31">
      <w:pPr>
        <w:spacing w:before="120" w:after="120"/>
        <w:ind w:firstLine="720"/>
        <w:jc w:val="both"/>
      </w:pPr>
      <w:r>
        <w:t xml:space="preserve">-  Phải có đơn và được chính quyền địa phương </w:t>
      </w:r>
      <w:r>
        <w:rPr>
          <w:color w:val="000000"/>
        </w:rPr>
        <w:t>nơi thân nhân cư trú</w:t>
      </w:r>
      <w:r>
        <w:t xml:space="preserve"> hoặc cơ sở y tế xác nhận có người thân bị ốm đau đi điều trị ở cơ sở y tế, điều trị dài hạn tại nhà, hoặc bị chết. </w:t>
      </w:r>
    </w:p>
    <w:p w14:paraId="0A95E7E0">
      <w:pPr>
        <w:spacing w:before="120" w:after="120"/>
        <w:ind w:firstLine="720"/>
        <w:jc w:val="both"/>
        <w:rPr>
          <w:color w:val="FF0000"/>
        </w:rPr>
      </w:pPr>
      <w:r>
        <w:rPr>
          <w:color w:val="000000"/>
        </w:rPr>
        <w:t>Nội dung chi và mức thanh toán</w:t>
      </w:r>
      <w:r>
        <w:rPr>
          <w:color w:val="FF0000"/>
        </w:rPr>
        <w:t xml:space="preserve">: </w:t>
      </w:r>
    </w:p>
    <w:p w14:paraId="33ED4342">
      <w:pPr>
        <w:spacing w:before="120" w:after="120"/>
        <w:ind w:firstLine="561"/>
        <w:jc w:val="both"/>
        <w:rPr>
          <w:rFonts w:hint="default" w:ascii="Times New Roman" w:hAnsi="Times New Roman" w:cs="Times New Roman"/>
        </w:rPr>
      </w:pPr>
      <w:r>
        <w:rPr>
          <w:rFonts w:hint="default" w:ascii="Times New Roman" w:hAnsi="Times New Roman" w:cs="Times New Roman"/>
        </w:rPr>
        <w:t>- Tiền tàu xe đi lại: Áp dụng mức tiền vé xe theo mức chi chế độ công tác phí theo Khoản 1 Điều 11.</w:t>
      </w:r>
    </w:p>
    <w:p w14:paraId="303A0E5F">
      <w:pPr>
        <w:spacing w:before="120" w:after="120"/>
        <w:ind w:firstLine="561"/>
        <w:jc w:val="both"/>
        <w:rPr>
          <w:rFonts w:hint="default" w:ascii="Times New Roman" w:hAnsi="Times New Roman" w:cs="Times New Roman"/>
        </w:rPr>
      </w:pPr>
      <w:r>
        <w:rPr>
          <w:rFonts w:hint="default" w:ascii="Times New Roman" w:hAnsi="Times New Roman" w:cs="Times New Roman"/>
        </w:rPr>
        <w:t>- Tiền phụ cấp đi đường: Áp dụng mức phụ cấp lưu trú theo mức chi chế độ công tác phí theo Khoản 2 Điều 11..</w:t>
      </w:r>
    </w:p>
    <w:p w14:paraId="3E4632B8">
      <w:pPr>
        <w:spacing w:before="120" w:after="120"/>
        <w:ind w:firstLine="720"/>
        <w:jc w:val="both"/>
        <w:rPr>
          <w:b/>
          <w:bCs/>
        </w:rPr>
      </w:pPr>
      <w:r>
        <w:rPr>
          <w:b/>
          <w:bCs/>
        </w:rPr>
        <w:t>*/ Trường hợp do yêu cầu công việc, đơn vị không bố trí được thời gian cho cán bộ, viên chức nghỉ phép:</w:t>
      </w:r>
    </w:p>
    <w:p w14:paraId="26149F60">
      <w:pPr>
        <w:spacing w:before="120" w:after="120"/>
        <w:ind w:firstLine="720"/>
        <w:jc w:val="both"/>
      </w:pPr>
      <w:r>
        <w:rPr>
          <w:color w:val="000000"/>
        </w:rPr>
        <w:t>Điều kiện, chứng từ thanh toán</w:t>
      </w:r>
      <w:r>
        <w:rPr>
          <w:color w:val="FF0000"/>
        </w:rPr>
        <w:t>:</w:t>
      </w:r>
      <w:r>
        <w:t xml:space="preserve"> Có đơn xin nghỉ phép nhưng được Thủ trưởng đơn vị nơi trực tiếp quản lý cán bộ, viên chức làm việc xác nhận do yêu cầu công việc nên không bố trí được thời gian cho cán bộ, viên chức nghỉ phép năm hoặc không bố trí đủ số ngày nghỉ phép năm.</w:t>
      </w:r>
    </w:p>
    <w:p w14:paraId="0032FA40">
      <w:pPr>
        <w:spacing w:before="120" w:after="120"/>
        <w:ind w:firstLine="720"/>
        <w:jc w:val="both"/>
        <w:rPr>
          <w:color w:val="000000"/>
        </w:rPr>
      </w:pPr>
      <w:r>
        <w:rPr>
          <w:color w:val="000000"/>
        </w:rPr>
        <w:t>Mức thanh toán cụ thể như sau:</w:t>
      </w:r>
    </w:p>
    <w:p w14:paraId="3EB70A98">
      <w:pPr>
        <w:spacing w:before="120" w:after="120"/>
        <w:ind w:firstLine="720"/>
        <w:jc w:val="both"/>
        <w:rPr>
          <w:color w:val="FF0000"/>
        </w:rPr>
      </w:pPr>
      <w:r>
        <w:t xml:space="preserve">- Mức chi tiền bồi dưỡng cho cán bộ, viên chức chưa nghỉ phép năm hoặc chưa nghỉ đủ số ngày nghỉ phép năm vận dụng theo chế độ thanh toán thêm giờ quy định tại </w:t>
      </w:r>
      <w:r>
        <w:rPr>
          <w:color w:val="000000"/>
        </w:rPr>
        <w:t>Nghị định số 145/2020/NĐ-CP ngày 14/12/2020 của Chính phủ quy định chi tiết và hướng dẫn thi hành một số điều của Bộ luật lao động về điều kiện lao động và quan hệ lao động</w:t>
      </w:r>
      <w:r>
        <w:rPr>
          <w:color w:val="FF0000"/>
        </w:rPr>
        <w:t>.</w:t>
      </w:r>
    </w:p>
    <w:tbl>
      <w:tblPr>
        <w:tblStyle w:val="9"/>
        <w:tblW w:w="9378" w:type="dxa"/>
        <w:tblInd w:w="-113" w:type="dxa"/>
        <w:tblLayout w:type="fixed"/>
        <w:tblCellMar>
          <w:top w:w="0" w:type="dxa"/>
          <w:left w:w="115" w:type="dxa"/>
          <w:bottom w:w="0" w:type="dxa"/>
          <w:right w:w="115" w:type="dxa"/>
        </w:tblCellMar>
      </w:tblPr>
      <w:tblGrid>
        <w:gridCol w:w="2142"/>
        <w:gridCol w:w="371"/>
        <w:gridCol w:w="3011"/>
        <w:gridCol w:w="2011"/>
        <w:gridCol w:w="1843"/>
      </w:tblGrid>
      <w:tr w14:paraId="54488EA0">
        <w:tblPrEx>
          <w:tblCellMar>
            <w:top w:w="0" w:type="dxa"/>
            <w:left w:w="115" w:type="dxa"/>
            <w:bottom w:w="0" w:type="dxa"/>
            <w:right w:w="115" w:type="dxa"/>
          </w:tblCellMar>
        </w:tblPrEx>
        <w:trPr>
          <w:trHeight w:val="705" w:hRule="atLeast"/>
        </w:trPr>
        <w:tc>
          <w:tcPr>
            <w:tcW w:w="2142" w:type="dxa"/>
            <w:vMerge w:val="restart"/>
            <w:tcBorders>
              <w:top w:val="nil"/>
              <w:left w:val="nil"/>
              <w:bottom w:val="nil"/>
              <w:right w:val="nil"/>
            </w:tcBorders>
            <w:vAlign w:val="center"/>
          </w:tcPr>
          <w:p w14:paraId="0F1E3C8B">
            <w:pPr>
              <w:spacing w:before="120" w:after="120"/>
              <w:jc w:val="center"/>
              <w:rPr>
                <w:sz w:val="27"/>
                <w:szCs w:val="27"/>
              </w:rPr>
            </w:pPr>
            <w:r>
              <w:rPr>
                <w:sz w:val="27"/>
                <w:szCs w:val="27"/>
              </w:rPr>
              <w:t xml:space="preserve">Tiền bồi dưỡng </w:t>
            </w:r>
          </w:p>
        </w:tc>
        <w:tc>
          <w:tcPr>
            <w:tcW w:w="371" w:type="dxa"/>
            <w:vMerge w:val="restart"/>
            <w:tcBorders>
              <w:top w:val="nil"/>
              <w:left w:val="nil"/>
              <w:bottom w:val="nil"/>
              <w:right w:val="nil"/>
            </w:tcBorders>
            <w:vAlign w:val="center"/>
          </w:tcPr>
          <w:p w14:paraId="160561C3">
            <w:pPr>
              <w:spacing w:before="120" w:after="120"/>
              <w:jc w:val="center"/>
              <w:rPr>
                <w:sz w:val="27"/>
                <w:szCs w:val="27"/>
              </w:rPr>
            </w:pPr>
            <w:r>
              <w:rPr>
                <w:sz w:val="27"/>
                <w:szCs w:val="27"/>
              </w:rPr>
              <w:t>=</w:t>
            </w:r>
          </w:p>
        </w:tc>
        <w:tc>
          <w:tcPr>
            <w:tcW w:w="3011" w:type="dxa"/>
            <w:tcBorders>
              <w:top w:val="nil"/>
              <w:left w:val="nil"/>
              <w:bottom w:val="single" w:color="000000" w:sz="8" w:space="0"/>
              <w:right w:val="nil"/>
            </w:tcBorders>
            <w:vAlign w:val="bottom"/>
          </w:tcPr>
          <w:p w14:paraId="67843155">
            <w:pPr>
              <w:jc w:val="center"/>
              <w:rPr>
                <w:sz w:val="27"/>
                <w:szCs w:val="27"/>
              </w:rPr>
            </w:pPr>
            <w:r>
              <w:rPr>
                <w:sz w:val="27"/>
                <w:szCs w:val="27"/>
              </w:rPr>
              <w:t>( Lương chính + PC chức vụ +PC khu vực + PC TN vượt khung ) 01 tháng</w:t>
            </w:r>
          </w:p>
        </w:tc>
        <w:tc>
          <w:tcPr>
            <w:tcW w:w="2011" w:type="dxa"/>
            <w:vMerge w:val="restart"/>
            <w:tcBorders>
              <w:top w:val="nil"/>
              <w:left w:val="nil"/>
              <w:bottom w:val="nil"/>
              <w:right w:val="nil"/>
            </w:tcBorders>
            <w:vAlign w:val="center"/>
          </w:tcPr>
          <w:p w14:paraId="55656C42">
            <w:pPr>
              <w:spacing w:before="120" w:after="120"/>
              <w:jc w:val="center"/>
              <w:rPr>
                <w:sz w:val="27"/>
                <w:szCs w:val="27"/>
              </w:rPr>
            </w:pPr>
          </w:p>
          <w:p w14:paraId="2EF70CC6">
            <w:pPr>
              <w:spacing w:before="120" w:after="120"/>
              <w:jc w:val="center"/>
              <w:rPr>
                <w:sz w:val="27"/>
                <w:szCs w:val="27"/>
              </w:rPr>
            </w:pPr>
            <w:r>
              <w:rPr>
                <w:sz w:val="27"/>
                <w:szCs w:val="27"/>
              </w:rPr>
              <w:t>x số giờ làm việc</w:t>
            </w:r>
          </w:p>
          <w:p w14:paraId="56B1D7E1">
            <w:pPr>
              <w:spacing w:before="120" w:after="120"/>
              <w:rPr>
                <w:sz w:val="27"/>
                <w:szCs w:val="27"/>
              </w:rPr>
            </w:pPr>
          </w:p>
        </w:tc>
        <w:tc>
          <w:tcPr>
            <w:tcW w:w="1843" w:type="dxa"/>
            <w:vMerge w:val="restart"/>
            <w:tcBorders>
              <w:top w:val="nil"/>
              <w:left w:val="nil"/>
              <w:right w:val="nil"/>
            </w:tcBorders>
          </w:tcPr>
          <w:p w14:paraId="7FB3A54E">
            <w:pPr>
              <w:spacing w:before="120" w:after="120"/>
              <w:rPr>
                <w:sz w:val="27"/>
                <w:szCs w:val="27"/>
              </w:rPr>
            </w:pPr>
          </w:p>
          <w:p w14:paraId="29D9A7FC">
            <w:pPr>
              <w:spacing w:before="120" w:after="120"/>
              <w:rPr>
                <w:sz w:val="27"/>
                <w:szCs w:val="27"/>
              </w:rPr>
            </w:pPr>
          </w:p>
          <w:p w14:paraId="1E0E31C3">
            <w:pPr>
              <w:spacing w:before="120" w:after="120"/>
              <w:rPr>
                <w:sz w:val="27"/>
                <w:szCs w:val="27"/>
              </w:rPr>
            </w:pPr>
            <w:r>
              <w:rPr>
                <w:sz w:val="27"/>
                <w:szCs w:val="27"/>
              </w:rPr>
              <w:t xml:space="preserve">x 150% </w:t>
            </w:r>
          </w:p>
          <w:p w14:paraId="2197B6B2">
            <w:pPr>
              <w:spacing w:before="120" w:after="120"/>
              <w:rPr>
                <w:sz w:val="27"/>
                <w:szCs w:val="27"/>
              </w:rPr>
            </w:pPr>
          </w:p>
        </w:tc>
      </w:tr>
      <w:tr w14:paraId="4F3A0BF2">
        <w:tblPrEx>
          <w:tblCellMar>
            <w:top w:w="0" w:type="dxa"/>
            <w:left w:w="115" w:type="dxa"/>
            <w:bottom w:w="0" w:type="dxa"/>
            <w:right w:w="115" w:type="dxa"/>
          </w:tblCellMar>
        </w:tblPrEx>
        <w:trPr>
          <w:trHeight w:val="660" w:hRule="atLeast"/>
        </w:trPr>
        <w:tc>
          <w:tcPr>
            <w:tcW w:w="2142" w:type="dxa"/>
            <w:vMerge w:val="continue"/>
            <w:tcBorders>
              <w:top w:val="nil"/>
              <w:left w:val="nil"/>
              <w:bottom w:val="nil"/>
              <w:right w:val="nil"/>
            </w:tcBorders>
            <w:vAlign w:val="center"/>
          </w:tcPr>
          <w:p w14:paraId="7E94604B">
            <w:pPr>
              <w:widowControl w:val="0"/>
              <w:spacing w:line="276" w:lineRule="auto"/>
              <w:rPr>
                <w:sz w:val="27"/>
                <w:szCs w:val="27"/>
              </w:rPr>
            </w:pPr>
          </w:p>
        </w:tc>
        <w:tc>
          <w:tcPr>
            <w:tcW w:w="371" w:type="dxa"/>
            <w:vMerge w:val="continue"/>
            <w:tcBorders>
              <w:top w:val="nil"/>
              <w:left w:val="nil"/>
              <w:bottom w:val="nil"/>
              <w:right w:val="nil"/>
            </w:tcBorders>
            <w:vAlign w:val="center"/>
          </w:tcPr>
          <w:p w14:paraId="1D3F2B16">
            <w:pPr>
              <w:widowControl w:val="0"/>
              <w:spacing w:line="276" w:lineRule="auto"/>
              <w:rPr>
                <w:sz w:val="27"/>
                <w:szCs w:val="27"/>
              </w:rPr>
            </w:pPr>
          </w:p>
        </w:tc>
        <w:tc>
          <w:tcPr>
            <w:tcW w:w="3011" w:type="dxa"/>
            <w:tcBorders>
              <w:top w:val="nil"/>
              <w:left w:val="nil"/>
              <w:bottom w:val="nil"/>
              <w:right w:val="nil"/>
            </w:tcBorders>
            <w:vAlign w:val="center"/>
          </w:tcPr>
          <w:p w14:paraId="1B64BEFD">
            <w:pPr>
              <w:jc w:val="center"/>
              <w:rPr>
                <w:sz w:val="27"/>
                <w:szCs w:val="27"/>
              </w:rPr>
            </w:pPr>
            <w:r>
              <w:rPr>
                <w:sz w:val="27"/>
                <w:szCs w:val="27"/>
              </w:rPr>
              <w:t>22 ngày x 8 giờ</w:t>
            </w:r>
          </w:p>
        </w:tc>
        <w:tc>
          <w:tcPr>
            <w:tcW w:w="2011" w:type="dxa"/>
            <w:vMerge w:val="continue"/>
            <w:tcBorders>
              <w:top w:val="nil"/>
              <w:left w:val="nil"/>
              <w:bottom w:val="nil"/>
              <w:right w:val="nil"/>
            </w:tcBorders>
            <w:vAlign w:val="center"/>
          </w:tcPr>
          <w:p w14:paraId="02FFBB24">
            <w:pPr>
              <w:widowControl w:val="0"/>
              <w:spacing w:line="276" w:lineRule="auto"/>
              <w:rPr>
                <w:sz w:val="27"/>
                <w:szCs w:val="27"/>
              </w:rPr>
            </w:pPr>
          </w:p>
        </w:tc>
        <w:tc>
          <w:tcPr>
            <w:tcW w:w="1843" w:type="dxa"/>
            <w:vMerge w:val="continue"/>
            <w:tcBorders>
              <w:top w:val="nil"/>
              <w:left w:val="nil"/>
              <w:right w:val="nil"/>
            </w:tcBorders>
          </w:tcPr>
          <w:p w14:paraId="27BB15A4">
            <w:pPr>
              <w:widowControl w:val="0"/>
              <w:spacing w:line="276" w:lineRule="auto"/>
              <w:rPr>
                <w:sz w:val="27"/>
                <w:szCs w:val="27"/>
              </w:rPr>
            </w:pPr>
          </w:p>
        </w:tc>
      </w:tr>
    </w:tbl>
    <w:p w14:paraId="00E92BD1">
      <w:pPr>
        <w:shd w:val="clear" w:color="auto" w:fill="FFFFFF"/>
        <w:spacing w:after="120"/>
        <w:ind w:firstLine="720"/>
        <w:jc w:val="both"/>
        <w:rPr>
          <w:b/>
          <w:bCs/>
          <w:i/>
          <w:iCs/>
          <w:color w:val="000000"/>
        </w:rPr>
      </w:pPr>
      <w:r>
        <w:rPr>
          <w:b/>
          <w:bCs/>
          <w:i/>
          <w:iCs/>
          <w:color w:val="000000"/>
        </w:rPr>
        <w:t>*/ Trường hợp giáo viên nghỉ thai sản có thời gian trùng với thời gian nghỉ hè:</w:t>
      </w:r>
    </w:p>
    <w:p w14:paraId="0C42AFCB">
      <w:pPr>
        <w:shd w:val="clear" w:color="auto" w:fill="FFFFFF"/>
        <w:spacing w:before="120" w:after="120"/>
        <w:jc w:val="both"/>
        <w:rPr>
          <w:color w:val="FF0000"/>
        </w:rPr>
      </w:pPr>
      <w:r>
        <w:rPr>
          <w:b/>
          <w:bCs/>
          <w:i/>
          <w:iCs/>
        </w:rPr>
        <w:tab/>
      </w:r>
      <w:r>
        <w:rPr>
          <w:color w:val="000000"/>
        </w:rPr>
        <w:t>Thực hiện theo Hướng dẫn số 1125/NGCBQLGD-CSNGCB ngày 18/8/2017 của Cục nhà giáo và cán bộ quán lý giáo dục về việc hướng dẫn giải quyết chế độ thai sản của giáo viên trùng với thời gian nghỉ hè.</w:t>
      </w:r>
    </w:p>
    <w:p w14:paraId="755EC16E">
      <w:pPr>
        <w:shd w:val="clear" w:color="auto" w:fill="FFFFFF"/>
        <w:spacing w:before="120" w:after="120"/>
        <w:ind w:firstLine="720"/>
        <w:jc w:val="both"/>
        <w:rPr>
          <w:color w:val="FF0000"/>
        </w:rPr>
      </w:pPr>
      <w:r>
        <w:t>- Trường hợp bố trí cho giáo viên nghỉ bù: Số ngày nghỉ thực hiện theo số ngày nghỉ phép quy định của Bộ luật lao động. Giáo viên có thời gian công tác đủ 12 tháng trở lên thì được nghỉ 12 ngày phép và cứ công tác đủ 05 năm trở lên thì được cộng thêm 01 ngày phép.</w:t>
      </w:r>
    </w:p>
    <w:p w14:paraId="4F2F97A0">
      <w:pPr>
        <w:shd w:val="clear" w:color="auto" w:fill="FFFFFF"/>
        <w:spacing w:before="120" w:after="120"/>
        <w:ind w:firstLine="720"/>
        <w:jc w:val="both"/>
      </w:pPr>
      <w:r>
        <w:t>- Trường hợp nếu không bố trí cho giáo viên nghỉ bù theo quy định của Bộ luật động thì đơn vị sẽ chi trả tiền bồi dưỡng cho giáo viên trong những ngày làm việc tại đơn vị như sau:</w:t>
      </w:r>
    </w:p>
    <w:p w14:paraId="6FD8C4B1">
      <w:pPr>
        <w:spacing w:before="120" w:after="120"/>
        <w:ind w:firstLine="720"/>
        <w:jc w:val="both"/>
        <w:rPr>
          <w:color w:val="FF0000"/>
        </w:rPr>
      </w:pPr>
      <w:r>
        <w:t xml:space="preserve">Mức chi trả vận dụng theo chế độ thanh toán thêm giờ quy định tại tại </w:t>
      </w:r>
      <w:r>
        <w:rPr>
          <w:color w:val="000000"/>
        </w:rPr>
        <w:t>Nghị định số 145/2020/NĐ-CP ngày 14/12/2020 của Chính phủ quy định chi tiết và hướng dẫn thi hành một số điều của Bộ luật lao động về điều kiện lao động và quan hệ lao động</w:t>
      </w:r>
      <w:r>
        <w:rPr>
          <w:color w:val="FF0000"/>
        </w:rPr>
        <w:t>.</w:t>
      </w:r>
    </w:p>
    <w:tbl>
      <w:tblPr>
        <w:tblStyle w:val="9"/>
        <w:tblW w:w="9378" w:type="dxa"/>
        <w:tblInd w:w="-113" w:type="dxa"/>
        <w:tblLayout w:type="fixed"/>
        <w:tblCellMar>
          <w:top w:w="0" w:type="dxa"/>
          <w:left w:w="115" w:type="dxa"/>
          <w:bottom w:w="0" w:type="dxa"/>
          <w:right w:w="115" w:type="dxa"/>
        </w:tblCellMar>
      </w:tblPr>
      <w:tblGrid>
        <w:gridCol w:w="2142"/>
        <w:gridCol w:w="371"/>
        <w:gridCol w:w="3011"/>
        <w:gridCol w:w="2471"/>
        <w:gridCol w:w="1383"/>
      </w:tblGrid>
      <w:tr w14:paraId="66DEE9D1">
        <w:tblPrEx>
          <w:tblCellMar>
            <w:top w:w="0" w:type="dxa"/>
            <w:left w:w="115" w:type="dxa"/>
            <w:bottom w:w="0" w:type="dxa"/>
            <w:right w:w="115" w:type="dxa"/>
          </w:tblCellMar>
        </w:tblPrEx>
        <w:trPr>
          <w:trHeight w:val="705" w:hRule="atLeast"/>
        </w:trPr>
        <w:tc>
          <w:tcPr>
            <w:tcW w:w="2142" w:type="dxa"/>
            <w:vMerge w:val="restart"/>
            <w:tcBorders>
              <w:top w:val="nil"/>
              <w:left w:val="nil"/>
              <w:bottom w:val="nil"/>
              <w:right w:val="nil"/>
            </w:tcBorders>
            <w:vAlign w:val="center"/>
          </w:tcPr>
          <w:p w14:paraId="69FEA5E5">
            <w:pPr>
              <w:spacing w:before="120" w:after="120"/>
              <w:jc w:val="center"/>
              <w:rPr>
                <w:sz w:val="26"/>
                <w:szCs w:val="26"/>
              </w:rPr>
            </w:pPr>
            <w:r>
              <w:rPr>
                <w:sz w:val="26"/>
                <w:szCs w:val="26"/>
              </w:rPr>
              <w:t xml:space="preserve">Tiền bồi dưỡng </w:t>
            </w:r>
          </w:p>
        </w:tc>
        <w:tc>
          <w:tcPr>
            <w:tcW w:w="371" w:type="dxa"/>
            <w:vMerge w:val="restart"/>
            <w:tcBorders>
              <w:top w:val="nil"/>
              <w:left w:val="nil"/>
              <w:bottom w:val="nil"/>
              <w:right w:val="nil"/>
            </w:tcBorders>
            <w:vAlign w:val="center"/>
          </w:tcPr>
          <w:p w14:paraId="692F3C19">
            <w:pPr>
              <w:jc w:val="center"/>
              <w:rPr>
                <w:sz w:val="26"/>
                <w:szCs w:val="26"/>
              </w:rPr>
            </w:pPr>
            <w:r>
              <w:rPr>
                <w:sz w:val="26"/>
                <w:szCs w:val="26"/>
              </w:rPr>
              <w:t>=</w:t>
            </w:r>
          </w:p>
        </w:tc>
        <w:tc>
          <w:tcPr>
            <w:tcW w:w="3011" w:type="dxa"/>
            <w:tcBorders>
              <w:top w:val="nil"/>
              <w:left w:val="nil"/>
              <w:bottom w:val="single" w:color="000000" w:sz="8" w:space="0"/>
              <w:right w:val="nil"/>
            </w:tcBorders>
            <w:vAlign w:val="bottom"/>
          </w:tcPr>
          <w:p w14:paraId="5421793A">
            <w:pPr>
              <w:jc w:val="center"/>
              <w:rPr>
                <w:sz w:val="26"/>
                <w:szCs w:val="26"/>
              </w:rPr>
            </w:pPr>
            <w:r>
              <w:rPr>
                <w:sz w:val="26"/>
                <w:szCs w:val="26"/>
              </w:rPr>
              <w:t>(Lương chính + PC chức vụ +PC khu vực + PC TN vượt khung) 01 tháng</w:t>
            </w:r>
          </w:p>
        </w:tc>
        <w:tc>
          <w:tcPr>
            <w:tcW w:w="2471" w:type="dxa"/>
            <w:vMerge w:val="restart"/>
            <w:tcBorders>
              <w:top w:val="nil"/>
              <w:left w:val="nil"/>
              <w:bottom w:val="nil"/>
              <w:right w:val="nil"/>
            </w:tcBorders>
            <w:vAlign w:val="center"/>
          </w:tcPr>
          <w:p w14:paraId="2334805C">
            <w:pPr>
              <w:jc w:val="center"/>
              <w:rPr>
                <w:sz w:val="26"/>
                <w:szCs w:val="26"/>
              </w:rPr>
            </w:pPr>
          </w:p>
          <w:p w14:paraId="302D1E8B">
            <w:pPr>
              <w:jc w:val="center"/>
              <w:rPr>
                <w:sz w:val="26"/>
                <w:szCs w:val="26"/>
              </w:rPr>
            </w:pPr>
            <w:r>
              <w:rPr>
                <w:sz w:val="26"/>
                <w:szCs w:val="26"/>
              </w:rPr>
              <w:t>x số giờ làm việc</w:t>
            </w:r>
          </w:p>
          <w:p w14:paraId="4DF97B29">
            <w:pPr>
              <w:rPr>
                <w:sz w:val="26"/>
                <w:szCs w:val="26"/>
              </w:rPr>
            </w:pPr>
          </w:p>
        </w:tc>
        <w:tc>
          <w:tcPr>
            <w:tcW w:w="1383" w:type="dxa"/>
            <w:vMerge w:val="restart"/>
            <w:tcBorders>
              <w:top w:val="nil"/>
              <w:left w:val="nil"/>
              <w:right w:val="nil"/>
            </w:tcBorders>
          </w:tcPr>
          <w:p w14:paraId="76F6A45D">
            <w:pPr>
              <w:rPr>
                <w:sz w:val="26"/>
                <w:szCs w:val="26"/>
              </w:rPr>
            </w:pPr>
          </w:p>
          <w:p w14:paraId="6F0C8722">
            <w:pPr>
              <w:rPr>
                <w:sz w:val="26"/>
                <w:szCs w:val="26"/>
              </w:rPr>
            </w:pPr>
          </w:p>
          <w:p w14:paraId="4EA90D3A">
            <w:pPr>
              <w:rPr>
                <w:sz w:val="26"/>
                <w:szCs w:val="26"/>
              </w:rPr>
            </w:pPr>
            <w:r>
              <w:rPr>
                <w:sz w:val="26"/>
                <w:szCs w:val="26"/>
              </w:rPr>
              <w:t xml:space="preserve">x 150% </w:t>
            </w:r>
          </w:p>
          <w:p w14:paraId="466D36DF">
            <w:pPr>
              <w:rPr>
                <w:sz w:val="26"/>
                <w:szCs w:val="26"/>
              </w:rPr>
            </w:pPr>
          </w:p>
        </w:tc>
      </w:tr>
      <w:tr w14:paraId="19B41DE7">
        <w:tblPrEx>
          <w:tblCellMar>
            <w:top w:w="0" w:type="dxa"/>
            <w:left w:w="115" w:type="dxa"/>
            <w:bottom w:w="0" w:type="dxa"/>
            <w:right w:w="115" w:type="dxa"/>
          </w:tblCellMar>
        </w:tblPrEx>
        <w:trPr>
          <w:trHeight w:val="660" w:hRule="atLeast"/>
        </w:trPr>
        <w:tc>
          <w:tcPr>
            <w:tcW w:w="2142" w:type="dxa"/>
            <w:vMerge w:val="continue"/>
            <w:tcBorders>
              <w:top w:val="nil"/>
              <w:left w:val="nil"/>
              <w:bottom w:val="nil"/>
              <w:right w:val="nil"/>
            </w:tcBorders>
            <w:vAlign w:val="center"/>
          </w:tcPr>
          <w:p w14:paraId="10BCEAD8">
            <w:pPr>
              <w:widowControl w:val="0"/>
              <w:spacing w:line="276" w:lineRule="auto"/>
              <w:rPr>
                <w:sz w:val="26"/>
                <w:szCs w:val="26"/>
              </w:rPr>
            </w:pPr>
          </w:p>
        </w:tc>
        <w:tc>
          <w:tcPr>
            <w:tcW w:w="371" w:type="dxa"/>
            <w:vMerge w:val="continue"/>
            <w:tcBorders>
              <w:top w:val="nil"/>
              <w:left w:val="nil"/>
              <w:bottom w:val="nil"/>
              <w:right w:val="nil"/>
            </w:tcBorders>
            <w:vAlign w:val="center"/>
          </w:tcPr>
          <w:p w14:paraId="3A8A13DF">
            <w:pPr>
              <w:widowControl w:val="0"/>
              <w:spacing w:line="276" w:lineRule="auto"/>
              <w:rPr>
                <w:sz w:val="26"/>
                <w:szCs w:val="26"/>
              </w:rPr>
            </w:pPr>
          </w:p>
        </w:tc>
        <w:tc>
          <w:tcPr>
            <w:tcW w:w="3011" w:type="dxa"/>
            <w:tcBorders>
              <w:top w:val="nil"/>
              <w:left w:val="nil"/>
              <w:bottom w:val="nil"/>
              <w:right w:val="nil"/>
            </w:tcBorders>
            <w:vAlign w:val="center"/>
          </w:tcPr>
          <w:p w14:paraId="5E291CB7">
            <w:pPr>
              <w:spacing w:before="120" w:after="120"/>
              <w:jc w:val="center"/>
              <w:rPr>
                <w:sz w:val="27"/>
                <w:szCs w:val="27"/>
              </w:rPr>
            </w:pPr>
            <w:r>
              <w:rPr>
                <w:sz w:val="27"/>
                <w:szCs w:val="27"/>
              </w:rPr>
              <w:t>22 ngày x 8 giờ</w:t>
            </w:r>
          </w:p>
        </w:tc>
        <w:tc>
          <w:tcPr>
            <w:tcW w:w="2471" w:type="dxa"/>
            <w:vMerge w:val="continue"/>
            <w:tcBorders>
              <w:top w:val="nil"/>
              <w:left w:val="nil"/>
              <w:bottom w:val="nil"/>
              <w:right w:val="nil"/>
            </w:tcBorders>
            <w:vAlign w:val="center"/>
          </w:tcPr>
          <w:p w14:paraId="6A3F75FD">
            <w:pPr>
              <w:widowControl w:val="0"/>
              <w:spacing w:line="276" w:lineRule="auto"/>
              <w:rPr>
                <w:sz w:val="27"/>
                <w:szCs w:val="27"/>
              </w:rPr>
            </w:pPr>
          </w:p>
        </w:tc>
        <w:tc>
          <w:tcPr>
            <w:tcW w:w="1383" w:type="dxa"/>
            <w:vMerge w:val="continue"/>
            <w:tcBorders>
              <w:top w:val="nil"/>
              <w:left w:val="nil"/>
              <w:right w:val="nil"/>
            </w:tcBorders>
          </w:tcPr>
          <w:p w14:paraId="1F9E5F20">
            <w:pPr>
              <w:widowControl w:val="0"/>
              <w:spacing w:line="276" w:lineRule="auto"/>
              <w:rPr>
                <w:sz w:val="27"/>
                <w:szCs w:val="27"/>
              </w:rPr>
            </w:pPr>
          </w:p>
        </w:tc>
      </w:tr>
    </w:tbl>
    <w:p w14:paraId="2DEBE124">
      <w:pPr>
        <w:spacing w:before="120" w:after="120"/>
        <w:ind w:firstLine="720"/>
        <w:jc w:val="both"/>
        <w:rPr>
          <w:b/>
          <w:bCs/>
        </w:rPr>
      </w:pPr>
      <w:r>
        <w:rPr>
          <w:b/>
          <w:bCs/>
        </w:rPr>
        <w:t>Điều 7. Thanh toán dịch vụ công cộng</w:t>
      </w:r>
    </w:p>
    <w:p w14:paraId="4D28DAB9">
      <w:pPr>
        <w:spacing w:before="120" w:after="120"/>
        <w:ind w:firstLine="720"/>
        <w:jc w:val="both"/>
        <w:rPr>
          <w:b/>
          <w:bCs/>
        </w:rPr>
      </w:pPr>
      <w:r>
        <w:t xml:space="preserve">- Thanh toán tiền điện: Chi toán theo hóa đơn thực tế trên cơ sở quản lý chặt chẽ, đảm bảo tiết kiệm; </w:t>
      </w:r>
    </w:p>
    <w:p w14:paraId="335BD156">
      <w:pPr>
        <w:spacing w:before="120" w:after="120"/>
        <w:jc w:val="both"/>
        <w:rPr>
          <w:b/>
          <w:bCs/>
        </w:rPr>
      </w:pPr>
      <w:r>
        <w:tab/>
      </w:r>
      <w:r>
        <w:t>- Thanh toán tiền nước máy sinh hoạt ( nếu có): Chi theo thực tế sử dụng trên cơ sở tiết kiệm.</w:t>
      </w:r>
    </w:p>
    <w:p w14:paraId="647A99D2">
      <w:pPr>
        <w:spacing w:before="120" w:after="120"/>
        <w:jc w:val="both"/>
      </w:pPr>
      <w:r>
        <w:rPr>
          <w:b/>
          <w:bCs/>
        </w:rPr>
        <w:tab/>
      </w:r>
      <w:r>
        <w:t>- Thanh toán các dịch vụ công cộng khác phát sinh theo thực tế.</w:t>
      </w:r>
    </w:p>
    <w:p w14:paraId="4E6BF55D">
      <w:pPr>
        <w:spacing w:before="120" w:after="120"/>
        <w:ind w:firstLine="720"/>
        <w:jc w:val="both"/>
        <w:rPr>
          <w:b/>
          <w:bCs/>
        </w:rPr>
      </w:pPr>
      <w:r>
        <w:rPr>
          <w:b/>
          <w:bCs/>
        </w:rPr>
        <w:t>Điều 8. Chi vật tư văn phòng</w:t>
      </w:r>
    </w:p>
    <w:p w14:paraId="1EB0D617">
      <w:pPr>
        <w:spacing w:before="120" w:after="120"/>
        <w:jc w:val="both"/>
      </w:pPr>
      <w:r>
        <w:rPr>
          <w:b/>
          <w:bCs/>
        </w:rPr>
        <w:tab/>
      </w:r>
      <w:r>
        <w:t>Mua sắm vật tư, văn phòng phẩm: Lãnh đạo nhà trường giao cho hành chính và các bộ phận có liên quan mua sắm. Vật tư văn phòng phải mua sắm phù hợp đúng tính chất phục vụ cho công tác chuyên môn, công việc của từng bộ phận. Các bộ phận trước khi mua sắm phải lập tờ trình, dự trù và được Hiệu trưởng phê duyệt.</w:t>
      </w:r>
    </w:p>
    <w:p w14:paraId="0111FA04">
      <w:pPr>
        <w:spacing w:before="120" w:after="120"/>
        <w:ind w:firstLine="720"/>
        <w:jc w:val="both"/>
        <w:rPr>
          <w:b/>
          <w:bCs/>
          <w:i/>
          <w:iCs/>
        </w:rPr>
      </w:pPr>
      <w:r>
        <w:rPr>
          <w:b/>
          <w:bCs/>
          <w:i/>
          <w:iCs/>
        </w:rPr>
        <w:t xml:space="preserve">-  Văn phòng phẩm giáo viên: </w:t>
      </w:r>
    </w:p>
    <w:p w14:paraId="29B10DC6">
      <w:pPr>
        <w:spacing w:before="120" w:after="120"/>
        <w:ind w:firstLine="720"/>
        <w:jc w:val="both"/>
        <w:rPr>
          <w:b/>
          <w:bCs/>
          <w:i/>
          <w:iCs/>
        </w:rPr>
      </w:pPr>
      <w:r>
        <w:t>+ Hồ sơ, sổ sách: Các loại sổ in sẵn theo hướng dẫn của Sở GD&amp;ĐT, nhà trường mua và cấp phát cho cán bộ, giáo viên, nhân viên theo nhiệm vụ được giao trong năm học.</w:t>
      </w:r>
    </w:p>
    <w:p w14:paraId="086A1FC1">
      <w:pPr>
        <w:spacing w:before="120" w:after="120"/>
        <w:jc w:val="both"/>
      </w:pPr>
      <w:r>
        <w:tab/>
      </w:r>
      <w:r>
        <w:t>+ Đối với giáo viên soạn bài trên máy vi tính: Hỗ trợ 02 Gram giấy in A4/năm.</w:t>
      </w:r>
    </w:p>
    <w:p w14:paraId="6A50DE47">
      <w:pPr>
        <w:spacing w:before="120" w:after="120"/>
        <w:jc w:val="both"/>
      </w:pPr>
      <w:r>
        <w:tab/>
      </w:r>
      <w:r>
        <w:t>+ Trong năm, căn cứ vào nguồn kinh phí hỗ trợ CB, GV, NV:  01 chiếc cặp đeo công sở/người/năm học.</w:t>
      </w:r>
    </w:p>
    <w:p w14:paraId="3B6C43F7">
      <w:pPr>
        <w:spacing w:before="120" w:after="120"/>
        <w:ind w:firstLine="720"/>
        <w:jc w:val="both"/>
        <w:rPr>
          <w:b/>
          <w:bCs/>
          <w:i/>
          <w:iCs/>
        </w:rPr>
      </w:pPr>
      <w:r>
        <w:rPr>
          <w:b/>
          <w:bCs/>
          <w:i/>
          <w:iCs/>
        </w:rPr>
        <w:t xml:space="preserve">-  Các văn phòng phẩm, vật tư văn phòng khác: </w:t>
      </w:r>
    </w:p>
    <w:p w14:paraId="437827C2">
      <w:pPr>
        <w:spacing w:before="120" w:after="120"/>
        <w:ind w:firstLine="720"/>
        <w:jc w:val="both"/>
        <w:rPr>
          <w:i/>
          <w:iCs/>
        </w:rPr>
      </w:pPr>
      <w:r>
        <w:t xml:space="preserve">+ Văn phòng phẩm: căn cứ vào nhu cầu sử dụng thực tế của ban giám hiệu, các tổ chuyên môn, thư kí hội đồng, kế toán, hành chính mà các bộ phận liên quan đề nghị hiệu trưởng phê duyệt, mua và cấp phát kịp thời </w:t>
      </w:r>
      <w:r>
        <w:rPr>
          <w:i/>
          <w:iCs/>
        </w:rPr>
        <w:t>(trên cơ sở tiết kiệm).</w:t>
      </w:r>
    </w:p>
    <w:p w14:paraId="739A0CD3">
      <w:pPr>
        <w:spacing w:before="120" w:after="120"/>
        <w:ind w:firstLine="567"/>
        <w:jc w:val="both"/>
      </w:pPr>
      <w:r>
        <w:t xml:space="preserve">  + Mua sắm công cụ, dụng cụ, thiết bị trên thực tế thực sự cần thiết để phục vụ công tác chuyên môn của nhà trường và khi có nhu cầu mua sắm tài sản phục vụ cho công tác, các bộ phận cần có tờ trình, dự trù đề nghị hiệu trưởng phê duyệt.  </w:t>
      </w:r>
    </w:p>
    <w:p w14:paraId="77EAE233">
      <w:pPr>
        <w:spacing w:before="120" w:after="120"/>
        <w:ind w:firstLine="720"/>
        <w:jc w:val="both"/>
      </w:pPr>
      <w:r>
        <w:t>+ Chi mua vật tư cho máy vi tính, máy in, máy photo,..: Mua sắm theo nhu cầu thực tế cần thiết.</w:t>
      </w:r>
    </w:p>
    <w:p w14:paraId="08F4BFEF">
      <w:pPr>
        <w:spacing w:before="120" w:after="120"/>
        <w:ind w:firstLine="720"/>
        <w:jc w:val="both"/>
      </w:pPr>
    </w:p>
    <w:p w14:paraId="3073DB9D">
      <w:pPr>
        <w:spacing w:before="120" w:after="120"/>
        <w:ind w:firstLine="720"/>
        <w:jc w:val="both"/>
      </w:pPr>
      <w:r>
        <w:t>+ Vật tư dùng cho chuyên môn: Chi phí hợp lý theo thực tế được Hiệu trưởng duyệt.</w:t>
      </w:r>
    </w:p>
    <w:p w14:paraId="67BCDAD1">
      <w:pPr>
        <w:spacing w:before="120" w:after="120"/>
        <w:ind w:firstLine="720"/>
        <w:jc w:val="both"/>
        <w:rPr>
          <w:spacing w:val="-4"/>
        </w:rPr>
      </w:pPr>
      <w:r>
        <w:rPr>
          <w:spacing w:val="-4"/>
        </w:rPr>
        <w:t>+ Các vật tư văn phòng khác: Chi theo nhu cầu thực tế trên cơ sở tiết kiệm.</w:t>
      </w:r>
    </w:p>
    <w:p w14:paraId="53237A63">
      <w:pPr>
        <w:spacing w:before="120" w:after="120"/>
        <w:ind w:firstLine="567"/>
        <w:jc w:val="both"/>
        <w:rPr>
          <w:b/>
          <w:bCs/>
        </w:rPr>
      </w:pPr>
      <w:r>
        <w:rPr>
          <w:b/>
          <w:bCs/>
        </w:rPr>
        <w:t>Điều 9. Chi thông tin tuyên truyền</w:t>
      </w:r>
    </w:p>
    <w:p w14:paraId="131B087A">
      <w:pPr>
        <w:spacing w:before="120" w:after="120"/>
        <w:ind w:firstLine="567"/>
        <w:jc w:val="both"/>
        <w:rPr>
          <w:b/>
          <w:bCs/>
        </w:rPr>
      </w:pPr>
      <w:r>
        <w:t>- Sách, tài liệu tham khảo: Thanh toán theo thực tế khi được lãnh đạo nhà trường phê duyệt.</w:t>
      </w:r>
    </w:p>
    <w:p w14:paraId="0F20E200">
      <w:pPr>
        <w:spacing w:before="120" w:after="120"/>
        <w:ind w:firstLine="567"/>
        <w:jc w:val="both"/>
      </w:pPr>
      <w:r>
        <w:t xml:space="preserve">- Chế độ sử dụng điện thoại: Theo mức khoán không quá </w:t>
      </w:r>
      <w:r>
        <w:rPr>
          <w:color w:val="000000"/>
        </w:rPr>
        <w:t>150.000</w:t>
      </w:r>
      <w:r>
        <w:t xml:space="preserve"> đồng/tháng/máy (bao gồm cả thuê bao và không tính bù trừ giữa các máy).</w:t>
      </w:r>
    </w:p>
    <w:p w14:paraId="7B8ADDE2">
      <w:pPr>
        <w:spacing w:before="120" w:after="120"/>
        <w:ind w:firstLine="567"/>
        <w:jc w:val="both"/>
      </w:pPr>
      <w:r>
        <w:t>- Cước phí bưu chính: Chi theo thực tế.</w:t>
      </w:r>
    </w:p>
    <w:p w14:paraId="196F16AC">
      <w:pPr>
        <w:spacing w:before="120" w:after="120"/>
        <w:ind w:firstLine="567"/>
        <w:jc w:val="both"/>
      </w:pPr>
      <w:r>
        <w:t>- Cước phí Internet: Thanh toán theo thực tế.</w:t>
      </w:r>
    </w:p>
    <w:p w14:paraId="55C589CB">
      <w:pPr>
        <w:spacing w:before="120" w:after="120"/>
        <w:ind w:firstLine="562"/>
        <w:jc w:val="both"/>
      </w:pPr>
      <w:r>
        <w:t>- Các nội dung chi khác: Theo chế độ hiện hành trên cơ sở tiết kiệm.</w:t>
      </w:r>
    </w:p>
    <w:p w14:paraId="16440B43">
      <w:pPr>
        <w:spacing w:before="120" w:after="120"/>
        <w:ind w:firstLine="562"/>
        <w:jc w:val="both"/>
        <w:rPr>
          <w:b/>
          <w:bCs/>
        </w:rPr>
      </w:pPr>
      <w:r>
        <w:rPr>
          <w:b/>
          <w:bCs/>
        </w:rPr>
        <w:t>Điều 10. Chi hội nghị</w:t>
      </w:r>
    </w:p>
    <w:p w14:paraId="4B70CD00">
      <w:pPr>
        <w:spacing w:before="120" w:after="120"/>
        <w:ind w:firstLine="562"/>
        <w:jc w:val="both"/>
        <w:rPr>
          <w:b/>
          <w:bCs/>
          <w:i/>
          <w:iCs/>
        </w:rPr>
      </w:pPr>
      <w:r>
        <w:rPr>
          <w:b/>
          <w:bCs/>
          <w:i/>
          <w:iCs/>
        </w:rPr>
        <w:t>Áp dụng theo các văn bản hướng dẫn:</w:t>
      </w:r>
    </w:p>
    <w:p w14:paraId="417553AA">
      <w:pPr>
        <w:spacing w:before="120" w:after="120"/>
        <w:jc w:val="both"/>
        <w:rPr>
          <w:color w:val="000000"/>
        </w:rPr>
      </w:pPr>
      <w:r>
        <w:rPr>
          <w:b/>
          <w:bCs/>
        </w:rPr>
        <w:tab/>
      </w:r>
      <w:r>
        <w:rPr>
          <w:color w:val="000000"/>
        </w:rPr>
        <w:t>Thông tư số 40/2017/TT-BTC ngày 28/4/2017 của Bộ Tài chính  quy định về chế độ công tác phí, chế độ hội nghị;</w:t>
      </w:r>
    </w:p>
    <w:p w14:paraId="4D17725B">
      <w:pPr>
        <w:spacing w:before="120" w:after="120"/>
        <w:ind w:firstLine="720"/>
        <w:jc w:val="both"/>
        <w:rPr>
          <w:color w:val="000000"/>
        </w:rPr>
      </w:pPr>
      <w:r>
        <w:rPr>
          <w:color w:val="000000"/>
        </w:rPr>
        <w:t xml:space="preserve">Nghị quyết số 58/2017/NQ-HĐND ngày 07/07/2017 của Hội đồng nhân dân tỉnh Quảng Ninh về việc quy định mức chi công tác phí, hội nghị đối với các cơ quan, đơn vị sự nghiệp công lâp, tổ chức chính trị, tổ chức chính trị - xã hội, các tổ chức hội sử dụng kinh phí do ngân sách nhà nước hỗ trợ thuộc địa phương quản lý trên địa bàn tỉnh Quảng Ninh;                                                                 </w:t>
      </w:r>
    </w:p>
    <w:p w14:paraId="178ADF7C">
      <w:pPr>
        <w:spacing w:before="120" w:after="120"/>
        <w:ind w:firstLine="720"/>
        <w:jc w:val="both"/>
        <w:rPr>
          <w:color w:val="000000"/>
        </w:rPr>
      </w:pPr>
      <w:r>
        <w:rPr>
          <w:color w:val="000000"/>
        </w:rPr>
        <w:t>Công văn số 5806/UBND-TM3 ngày 09/8/2017 của UBND tỉnh Quảng Ninh về việc thực hiện chế độ công tác phí, hội nghị.</w:t>
      </w:r>
    </w:p>
    <w:p w14:paraId="45AC4408">
      <w:pPr>
        <w:spacing w:before="120" w:after="120"/>
        <w:ind w:firstLine="720"/>
        <w:jc w:val="both"/>
        <w:rPr>
          <w:i/>
          <w:iCs/>
        </w:rPr>
      </w:pPr>
      <w:r>
        <w:rPr>
          <w:i/>
          <w:iCs/>
        </w:rPr>
        <w:t>Mức chi cụ thể như sau:</w:t>
      </w:r>
    </w:p>
    <w:p w14:paraId="7CBAB248">
      <w:pPr>
        <w:ind w:firstLine="567"/>
        <w:jc w:val="both"/>
        <w:rPr>
          <w:color w:val="000000"/>
        </w:rPr>
      </w:pPr>
      <w:r>
        <w:rPr>
          <w:color w:val="000000"/>
        </w:rPr>
        <w:t>- Chi trang trí khánh tiết không quá</w:t>
      </w:r>
      <w:r>
        <w:rPr>
          <w:color w:val="000000"/>
          <w:lang w:val="vi-VN"/>
        </w:rPr>
        <w:t>:</w:t>
      </w:r>
      <w:r>
        <w:rPr>
          <w:color w:val="000000"/>
        </w:rPr>
        <w:t xml:space="preserve"> 300.000đ/lần tổ chức.</w:t>
      </w:r>
    </w:p>
    <w:p w14:paraId="21566A05">
      <w:pPr>
        <w:ind w:firstLine="567"/>
        <w:rPr>
          <w:color w:val="000000"/>
        </w:rPr>
      </w:pPr>
      <w:r>
        <w:rPr>
          <w:color w:val="000000"/>
        </w:rPr>
        <w:t>-Tiền nước uống:</w:t>
      </w:r>
      <w:r>
        <w:rPr>
          <w:color w:val="000000"/>
          <w:lang w:val="vi-VN"/>
        </w:rPr>
        <w:t xml:space="preserve"> </w:t>
      </w:r>
      <w:r>
        <w:rPr>
          <w:color w:val="000000"/>
        </w:rPr>
        <w:t>20.000đồng/người/buổi(nửa ngày),  30.000đồng/người/ngày.</w:t>
      </w:r>
    </w:p>
    <w:p w14:paraId="0B2E1105">
      <w:pPr>
        <w:ind w:firstLine="567"/>
        <w:rPr>
          <w:color w:val="000000"/>
        </w:rPr>
      </w:pPr>
      <w:r>
        <w:rPr>
          <w:color w:val="000000"/>
        </w:rPr>
        <w:t>- Tiền ăn chi cho người không hưởng lương từ nguồn ngân sách:  100.000đ/người/ngày.</w:t>
      </w:r>
    </w:p>
    <w:p w14:paraId="014FA012">
      <w:pPr>
        <w:spacing w:before="120" w:after="120"/>
        <w:ind w:firstLine="567"/>
        <w:jc w:val="both"/>
        <w:rPr>
          <w:color w:val="000000"/>
        </w:rPr>
      </w:pPr>
      <w:r>
        <w:rPr>
          <w:color w:val="000000"/>
        </w:rPr>
        <w:t>- Chi tiền tài liệu theo thực tế.</w:t>
      </w:r>
    </w:p>
    <w:p w14:paraId="7E7F5AF7">
      <w:pPr>
        <w:spacing w:before="120" w:after="120"/>
        <w:ind w:firstLine="567"/>
        <w:jc w:val="both"/>
        <w:rPr>
          <w:i/>
          <w:iCs/>
          <w:color w:val="000000"/>
        </w:rPr>
      </w:pPr>
      <w:r>
        <w:rPr>
          <w:color w:val="000000"/>
        </w:rPr>
        <w:t>- Tùy theo từng hội nghị có mua thêm một số dụng cụ khác phát sinh trong quá trình tổ chức hội nghị trên cơ sở tiết kiệm.</w:t>
      </w:r>
    </w:p>
    <w:p w14:paraId="034B4ED1">
      <w:pPr>
        <w:spacing w:before="120" w:after="120"/>
        <w:ind w:firstLine="567"/>
        <w:jc w:val="both"/>
        <w:rPr>
          <w:b/>
          <w:bCs/>
        </w:rPr>
      </w:pPr>
    </w:p>
    <w:p w14:paraId="29E20FEC">
      <w:pPr>
        <w:spacing w:before="120" w:after="120"/>
        <w:ind w:firstLine="567"/>
        <w:jc w:val="both"/>
        <w:rPr>
          <w:b/>
          <w:bCs/>
        </w:rPr>
      </w:pPr>
      <w:r>
        <w:rPr>
          <w:b/>
          <w:bCs/>
        </w:rPr>
        <w:t>Điều 11. Chi công tác phí</w:t>
      </w:r>
    </w:p>
    <w:p w14:paraId="60899F2F">
      <w:pPr>
        <w:spacing w:before="120" w:after="120"/>
        <w:ind w:firstLine="562"/>
        <w:jc w:val="both"/>
        <w:rPr>
          <w:b/>
          <w:bCs/>
          <w:i/>
          <w:iCs/>
        </w:rPr>
      </w:pPr>
      <w:r>
        <w:rPr>
          <w:b/>
          <w:bCs/>
          <w:i/>
          <w:iCs/>
        </w:rPr>
        <w:t>Áp dụng theo các văn bản hướng dẫn:</w:t>
      </w:r>
    </w:p>
    <w:p w14:paraId="6DB821E9">
      <w:pPr>
        <w:spacing w:before="120" w:after="120"/>
        <w:jc w:val="both"/>
        <w:rPr>
          <w:color w:val="000000"/>
        </w:rPr>
      </w:pPr>
      <w:r>
        <w:rPr>
          <w:b/>
          <w:bCs/>
        </w:rPr>
        <w:tab/>
      </w:r>
      <w:r>
        <w:rPr>
          <w:color w:val="000000"/>
        </w:rPr>
        <w:t>Thông tư số 40/2017/TT-BTC ngày 28/4/2017 của Bộ Tài chính  quy định về chế độ công tác phí, chế độ hội nghị;</w:t>
      </w:r>
    </w:p>
    <w:p w14:paraId="4BF9C9A6">
      <w:pPr>
        <w:spacing w:before="120" w:after="120"/>
        <w:ind w:firstLine="720"/>
        <w:jc w:val="both"/>
        <w:rPr>
          <w:color w:val="000000"/>
        </w:rPr>
      </w:pPr>
      <w:r>
        <w:rPr>
          <w:color w:val="000000"/>
        </w:rPr>
        <w:t xml:space="preserve">Nghị quyết số 58/2017/NQ-HĐND ngày 07/07/2017 của Hội đồng nhân dân tỉnh Quảng Ninh về việc quy định mức chi công tác phí, hội nghị đối với các cơ quan, đơn vị sự nghiệp công lâp, tổ chức chính trị, tổ chức chính trị - xã hội, các tổ chức hội sử dụng kinh phí do ngân sách nhà nước hỗ trợ thuộc địa phương quản lý trên địa bàn tỉnh Quảng Ninh; </w:t>
      </w:r>
    </w:p>
    <w:p w14:paraId="48B9D59F">
      <w:pPr>
        <w:spacing w:before="120" w:after="120"/>
        <w:ind w:firstLine="720"/>
        <w:jc w:val="both"/>
        <w:rPr>
          <w:color w:val="000000"/>
          <w:sz w:val="27"/>
          <w:szCs w:val="27"/>
        </w:rPr>
      </w:pPr>
      <w:r>
        <w:rPr>
          <w:color w:val="000000"/>
        </w:rPr>
        <w:t>Công văn số 5806/UBND-TM3 ngày 09/8/2017 của UBND tỉnh Quảng Ninh v</w:t>
      </w:r>
      <w:r>
        <w:rPr>
          <w:color w:val="000000"/>
          <w:sz w:val="27"/>
          <w:szCs w:val="27"/>
        </w:rPr>
        <w:t>ề việc thực hiện chế độ công tác phí, hội nghị.</w:t>
      </w:r>
    </w:p>
    <w:p w14:paraId="1C451951">
      <w:pPr>
        <w:spacing w:before="120" w:after="120"/>
        <w:jc w:val="both"/>
        <w:rPr>
          <w:b/>
          <w:bCs/>
          <w:i/>
          <w:iCs/>
        </w:rPr>
      </w:pPr>
      <w:r>
        <w:rPr>
          <w:i/>
          <w:iCs/>
          <w:sz w:val="27"/>
          <w:szCs w:val="27"/>
        </w:rPr>
        <w:tab/>
      </w:r>
      <w:r>
        <w:rPr>
          <w:b/>
          <w:bCs/>
          <w:i/>
          <w:iCs/>
        </w:rPr>
        <w:t xml:space="preserve">Điều kiện thanh toán công tác phí: </w:t>
      </w:r>
    </w:p>
    <w:p w14:paraId="21E90920">
      <w:pPr>
        <w:spacing w:before="120" w:after="120"/>
        <w:ind w:firstLine="720"/>
        <w:jc w:val="both"/>
      </w:pPr>
      <w:r>
        <w:t>Người đi công tác, đi họp, đi tập huấn phải có giấy triệu tập, giấy mời, hoặc do đơn vị cử đi có sự đồng ý của lãnh đạo cơ quan và thực hiện đúng nhiệm vụ được giao.</w:t>
      </w:r>
    </w:p>
    <w:p w14:paraId="040FDC28">
      <w:pPr>
        <w:spacing w:before="120" w:after="120"/>
        <w:ind w:firstLine="720"/>
        <w:jc w:val="both"/>
        <w:rPr>
          <w:rFonts w:hint="default" w:ascii="Times New Roman" w:hAnsi="Times New Roman" w:cs="Times New Roman"/>
        </w:rPr>
      </w:pPr>
      <w:r>
        <w:rPr>
          <w:rFonts w:hint="default" w:ascii="Times New Roman" w:hAnsi="Times New Roman" w:cs="Times New Roman"/>
        </w:rPr>
        <w:t>Có đủ các chứng từ thanh toán theo quy định.</w:t>
      </w:r>
    </w:p>
    <w:p w14:paraId="6F7DA19A">
      <w:pPr>
        <w:spacing w:before="120" w:after="120"/>
        <w:ind w:firstLine="720"/>
        <w:jc w:val="both"/>
        <w:rPr>
          <w:rFonts w:hint="default" w:ascii="Times New Roman" w:hAnsi="Times New Roman" w:cs="Times New Roman"/>
          <w:b/>
          <w:bCs/>
          <w:i/>
          <w:iCs/>
        </w:rPr>
      </w:pPr>
      <w:r>
        <w:rPr>
          <w:rFonts w:hint="default" w:ascii="Times New Roman" w:hAnsi="Times New Roman" w:cs="Times New Roman"/>
          <w:b/>
          <w:bCs/>
          <w:i/>
          <w:iCs/>
        </w:rPr>
        <w:t>Nội dung và mức chi công tác phí:</w:t>
      </w:r>
    </w:p>
    <w:p w14:paraId="41AD7E31">
      <w:pPr>
        <w:numPr>
          <w:ilvl w:val="0"/>
          <w:numId w:val="2"/>
        </w:numPr>
        <w:spacing w:before="120" w:after="120"/>
        <w:jc w:val="both"/>
        <w:rPr>
          <w:b/>
          <w:bCs/>
          <w:i/>
          <w:iCs/>
        </w:rPr>
      </w:pPr>
      <w:r>
        <w:rPr>
          <w:b/>
          <w:bCs/>
        </w:rPr>
        <w:t>Tiền vé tàu xe:</w:t>
      </w:r>
    </w:p>
    <w:p w14:paraId="37CEF159">
      <w:pPr>
        <w:spacing w:before="120" w:after="120"/>
        <w:ind w:firstLine="720"/>
        <w:jc w:val="both"/>
        <w:rPr>
          <w:i/>
          <w:iCs/>
          <w:color w:val="000000"/>
        </w:rPr>
      </w:pPr>
      <w:r>
        <w:rPr>
          <w:color w:val="000000"/>
        </w:rPr>
        <w:t>Mức chi cụ thể như sau</w:t>
      </w:r>
      <w:r>
        <w:rPr>
          <w:i/>
          <w:iCs/>
          <w:color w:val="000000"/>
        </w:rPr>
        <w:t>:</w:t>
      </w:r>
    </w:p>
    <w:p w14:paraId="190DAB1E">
      <w:pPr>
        <w:spacing w:before="120" w:after="120"/>
        <w:jc w:val="both"/>
      </w:pPr>
      <w:r>
        <w:t xml:space="preserve">         - Công tác ngoài huyện: Thanh toán theo giá vé thực tế.</w:t>
      </w:r>
    </w:p>
    <w:p w14:paraId="3C6A51D3">
      <w:pPr>
        <w:spacing w:before="120" w:after="120"/>
        <w:ind w:firstLine="561"/>
        <w:jc w:val="both"/>
      </w:pPr>
      <w:r>
        <w:t xml:space="preserve">  - Công tác trong huyện: Cá nhân tự túc phương tiện đi lại bằng xe ôm, xe máy ở các địa điểm sau thì được thanh toán một lượt đi về, cụ thể:</w:t>
      </w:r>
    </w:p>
    <w:p w14:paraId="6FA8CC97">
      <w:pPr>
        <w:spacing w:before="120"/>
        <w:ind w:firstLine="720"/>
        <w:jc w:val="both"/>
      </w:pPr>
      <w:r>
        <w:t xml:space="preserve">- Yên Than (18km)                              </w:t>
      </w:r>
      <w:r>
        <w:rPr>
          <w:lang w:val="vi-VN"/>
        </w:rPr>
        <w:t xml:space="preserve">                </w:t>
      </w:r>
      <w:r>
        <w:t xml:space="preserve"> </w:t>
      </w:r>
      <w:r>
        <w:rPr>
          <w:lang w:val="vi-VN"/>
        </w:rPr>
        <w:t xml:space="preserve">   </w:t>
      </w:r>
      <w:r>
        <w:t xml:space="preserve">    40.000đ</w:t>
      </w:r>
    </w:p>
    <w:p w14:paraId="3942FCA1">
      <w:pPr>
        <w:spacing w:before="120"/>
        <w:ind w:firstLine="720"/>
        <w:jc w:val="both"/>
      </w:pPr>
      <w:r>
        <w:t>- Điền Xá, Phong Dụ (23km):                                     50.000đ</w:t>
      </w:r>
    </w:p>
    <w:p w14:paraId="39BDB3B1">
      <w:pPr>
        <w:spacing w:before="120"/>
        <w:jc w:val="both"/>
      </w:pPr>
      <w:r>
        <w:rPr>
          <w:lang w:val="vi-VN"/>
        </w:rPr>
        <w:tab/>
      </w:r>
      <w:r>
        <w:t xml:space="preserve">- </w:t>
      </w:r>
      <w:r>
        <w:rPr>
          <w:lang w:val="vi-VN"/>
        </w:rPr>
        <w:t>Hải Lạng</w:t>
      </w:r>
      <w:r>
        <w:t xml:space="preserve"> (21km)                                                  </w:t>
      </w:r>
      <w:r>
        <w:rPr>
          <w:lang w:val="vi-VN"/>
        </w:rPr>
        <w:t xml:space="preserve"> </w:t>
      </w:r>
      <w:r>
        <w:t xml:space="preserve"> </w:t>
      </w:r>
      <w:r>
        <w:rPr>
          <w:lang w:val="vi-VN"/>
        </w:rPr>
        <w:t xml:space="preserve"> </w:t>
      </w:r>
      <w:r>
        <w:t xml:space="preserve">  50.000đ</w:t>
      </w:r>
    </w:p>
    <w:p w14:paraId="6977D7D1">
      <w:pPr>
        <w:spacing w:before="120" w:after="120"/>
        <w:ind w:firstLine="561"/>
        <w:jc w:val="both"/>
      </w:pPr>
      <w:r>
        <w:t xml:space="preserve">   - Đại Rực 2 (21km):                                                    50.000đ</w:t>
      </w:r>
    </w:p>
    <w:p w14:paraId="3DA36A70">
      <w:pPr>
        <w:spacing w:before="120" w:after="120"/>
        <w:ind w:firstLine="561"/>
        <w:jc w:val="both"/>
        <w:rPr>
          <w:lang w:val="vi-VN"/>
        </w:rPr>
      </w:pPr>
      <w:r>
        <w:t xml:space="preserve">   - Đồng Rui (38km):                               </w:t>
      </w:r>
      <w:r>
        <w:rPr>
          <w:lang w:val="vi-VN"/>
        </w:rPr>
        <w:t xml:space="preserve"> </w:t>
      </w:r>
      <w:r>
        <w:t xml:space="preserve">                     70.000đ</w:t>
      </w:r>
    </w:p>
    <w:p w14:paraId="41371C0F">
      <w:pPr>
        <w:spacing w:before="120" w:after="120"/>
        <w:ind w:firstLine="561"/>
        <w:jc w:val="both"/>
      </w:pPr>
      <w:r>
        <w:t xml:space="preserve">   -  Hà Lâu (43km):                       </w:t>
      </w:r>
      <w:r>
        <w:tab/>
      </w:r>
      <w:r>
        <w:t xml:space="preserve">                        90.000đ</w:t>
      </w:r>
    </w:p>
    <w:p w14:paraId="1EF88A3D">
      <w:pPr>
        <w:spacing w:before="120" w:after="120"/>
        <w:jc w:val="both"/>
        <w:rPr>
          <w:rFonts w:hint="default" w:ascii="Times New Roman" w:hAnsi="Times New Roman" w:cs="Times New Roman"/>
          <w:b w:val="0"/>
          <w:bCs w:val="0"/>
          <w:lang w:val="vi-VN"/>
        </w:rPr>
      </w:pPr>
      <w:r>
        <w:rPr>
          <w:rFonts w:hint="default" w:ascii="Times New Roman" w:hAnsi="Times New Roman" w:cs="Times New Roman"/>
          <w:b/>
          <w:bCs/>
        </w:rPr>
        <w:tab/>
      </w:r>
      <w:r>
        <w:rPr>
          <w:rFonts w:hint="default" w:ascii="Times New Roman" w:hAnsi="Times New Roman" w:cs="Times New Roman"/>
          <w:b w:val="0"/>
          <w:bCs w:val="0"/>
          <w:lang w:val="vi-VN"/>
        </w:rPr>
        <w:t>-  Đại Dực 1 (13km):                                                    25.000đ</w:t>
      </w:r>
    </w:p>
    <w:p w14:paraId="7A3C4F53">
      <w:pPr>
        <w:spacing w:before="120" w:after="120"/>
        <w:jc w:val="both"/>
        <w:rPr>
          <w:rFonts w:hint="default" w:ascii="Times New Roman" w:hAnsi="Times New Roman" w:cs="Times New Roman"/>
        </w:rPr>
      </w:pPr>
      <w:r>
        <w:rPr>
          <w:rFonts w:hint="default" w:ascii="Times New Roman" w:hAnsi="Times New Roman" w:cs="Times New Roman"/>
          <w:b/>
          <w:bCs/>
        </w:rPr>
        <w:t>2. Thanh toán tiền phụ cấp lưu trú:</w:t>
      </w:r>
    </w:p>
    <w:p w14:paraId="76BC2839">
      <w:pPr>
        <w:spacing w:before="120" w:after="120"/>
        <w:jc w:val="both"/>
      </w:pPr>
      <w:r>
        <w:rPr>
          <w:b/>
          <w:bCs/>
        </w:rPr>
        <w:tab/>
      </w:r>
      <w:r>
        <w:rPr>
          <w:color w:val="000000"/>
        </w:rPr>
        <w:t>Điều kiện thanh toán</w:t>
      </w:r>
      <w:r>
        <w:t>: Nơi đi hoặc nơi đến từ 10km trở lên đối với các xã vùng cao, hải đảo, miền núi khó khăn. Các trường hợp còn lại từ 15km trở lên.</w:t>
      </w:r>
    </w:p>
    <w:p w14:paraId="2B600353">
      <w:pPr>
        <w:spacing w:before="120" w:after="120"/>
        <w:ind w:firstLine="720"/>
        <w:jc w:val="both"/>
        <w:rPr>
          <w:i/>
          <w:iCs/>
          <w:color w:val="000000"/>
        </w:rPr>
      </w:pPr>
      <w:r>
        <w:rPr>
          <w:color w:val="000000"/>
        </w:rPr>
        <w:t>Mức chi cụ thể như sau</w:t>
      </w:r>
      <w:r>
        <w:rPr>
          <w:i/>
          <w:iCs/>
          <w:color w:val="000000"/>
        </w:rPr>
        <w:t>:</w:t>
      </w:r>
    </w:p>
    <w:p w14:paraId="1D6C614B">
      <w:pPr>
        <w:spacing w:before="120" w:after="120"/>
        <w:ind w:firstLine="720"/>
        <w:jc w:val="both"/>
        <w:rPr>
          <w:i/>
          <w:iCs/>
        </w:rPr>
      </w:pPr>
      <w:r>
        <w:rPr>
          <w:i/>
          <w:iCs/>
          <w:highlight w:val="yellow"/>
        </w:rPr>
        <w:t xml:space="preserve">*/ Đi công tác chặng đường dài từ 10km đến dưới </w:t>
      </w:r>
      <w:r>
        <w:rPr>
          <w:i/>
          <w:iCs/>
          <w:highlight w:val="yellow"/>
          <w:lang w:val="vi-VN"/>
        </w:rPr>
        <w:t>5</w:t>
      </w:r>
      <w:r>
        <w:rPr>
          <w:i/>
          <w:iCs/>
          <w:highlight w:val="yellow"/>
        </w:rPr>
        <w:t>0km:</w:t>
      </w:r>
    </w:p>
    <w:p w14:paraId="61DD416D">
      <w:pPr>
        <w:spacing w:before="120" w:after="120"/>
        <w:jc w:val="both"/>
      </w:pPr>
      <w:r>
        <w:tab/>
      </w:r>
      <w:r>
        <w:t xml:space="preserve">- Mức tối đa không quá </w:t>
      </w:r>
      <w:r>
        <w:rPr>
          <w:lang w:val="vi-VN"/>
        </w:rPr>
        <w:t>7</w:t>
      </w:r>
      <w:r>
        <w:t>0.000đ/người/ngày (đi và về trong ngày).</w:t>
      </w:r>
    </w:p>
    <w:p w14:paraId="0023E1DF">
      <w:pPr>
        <w:spacing w:before="120" w:after="120"/>
        <w:jc w:val="both"/>
      </w:pPr>
      <w:bookmarkStart w:id="1" w:name="_heading_h_gjdgxs" w:colFirst="0" w:colLast="0"/>
      <w:bookmarkEnd w:id="1"/>
      <w:r>
        <w:tab/>
      </w:r>
      <w:r>
        <w:t xml:space="preserve">- Mức tối đa không quá </w:t>
      </w:r>
      <w:r>
        <w:rPr>
          <w:lang w:val="vi-VN"/>
        </w:rPr>
        <w:t>10</w:t>
      </w:r>
      <w:r>
        <w:t>0.000đ/người/ngày (ngủ lại qua đêm).</w:t>
      </w:r>
    </w:p>
    <w:p w14:paraId="7B9CD15E">
      <w:pPr>
        <w:spacing w:before="120" w:after="120"/>
        <w:jc w:val="both"/>
        <w:rPr>
          <w:i/>
          <w:iCs/>
        </w:rPr>
      </w:pPr>
      <w:r>
        <w:rPr>
          <w:i/>
          <w:iCs/>
        </w:rPr>
        <w:tab/>
      </w:r>
      <w:r>
        <w:rPr>
          <w:i/>
          <w:iCs/>
          <w:highlight w:val="yellow"/>
        </w:rPr>
        <w:t xml:space="preserve">*/ Đi công tác chặng đường dài từ </w:t>
      </w:r>
      <w:r>
        <w:rPr>
          <w:i/>
          <w:iCs/>
          <w:highlight w:val="yellow"/>
          <w:lang w:val="vi-VN"/>
        </w:rPr>
        <w:t>5</w:t>
      </w:r>
      <w:r>
        <w:rPr>
          <w:i/>
          <w:iCs/>
          <w:highlight w:val="yellow"/>
        </w:rPr>
        <w:t xml:space="preserve">0km đến dưới </w:t>
      </w:r>
      <w:r>
        <w:rPr>
          <w:i/>
          <w:iCs/>
          <w:highlight w:val="yellow"/>
          <w:lang w:val="vi-VN"/>
        </w:rPr>
        <w:t>8</w:t>
      </w:r>
      <w:r>
        <w:rPr>
          <w:i/>
          <w:iCs/>
          <w:highlight w:val="yellow"/>
        </w:rPr>
        <w:t>0km:</w:t>
      </w:r>
    </w:p>
    <w:p w14:paraId="4A190D8B">
      <w:pPr>
        <w:spacing w:before="120" w:after="120"/>
        <w:jc w:val="both"/>
      </w:pPr>
      <w:r>
        <w:tab/>
      </w:r>
      <w:r>
        <w:t xml:space="preserve">- Mức tối đa không quá </w:t>
      </w:r>
      <w:r>
        <w:rPr>
          <w:lang w:val="vi-VN"/>
        </w:rPr>
        <w:t>10</w:t>
      </w:r>
      <w:r>
        <w:t>0.000đ/người/ngày (đi và về trong ngày).</w:t>
      </w:r>
    </w:p>
    <w:p w14:paraId="3E29623E">
      <w:pPr>
        <w:spacing w:before="120" w:after="120"/>
        <w:jc w:val="both"/>
      </w:pPr>
      <w:r>
        <w:tab/>
      </w:r>
      <w:r>
        <w:t xml:space="preserve">- Mức tối đa không quá </w:t>
      </w:r>
      <w:r>
        <w:rPr>
          <w:lang w:val="vi-VN"/>
        </w:rPr>
        <w:t>15</w:t>
      </w:r>
      <w:r>
        <w:t>0.000đ/người/ngày (ngủ lại qua đêm).</w:t>
      </w:r>
    </w:p>
    <w:p w14:paraId="54AAA8B5">
      <w:pPr>
        <w:spacing w:before="120" w:after="120"/>
        <w:ind w:firstLine="720"/>
        <w:jc w:val="both"/>
        <w:rPr>
          <w:i/>
          <w:iCs/>
        </w:rPr>
      </w:pPr>
      <w:r>
        <w:rPr>
          <w:i/>
          <w:iCs/>
        </w:rPr>
        <w:t>*/ Đi công tác chặng đường dài từ 80km trở lên:</w:t>
      </w:r>
    </w:p>
    <w:p w14:paraId="32170CD5">
      <w:pPr>
        <w:spacing w:before="120" w:after="120"/>
        <w:jc w:val="both"/>
      </w:pPr>
      <w:r>
        <w:tab/>
      </w:r>
      <w:r>
        <w:t>- Mức tối đa không quá 150.000đ/người/ngày (đi và về trong ngày).</w:t>
      </w:r>
    </w:p>
    <w:p w14:paraId="3954227E">
      <w:pPr>
        <w:spacing w:before="120" w:after="120"/>
        <w:jc w:val="both"/>
      </w:pPr>
      <w:r>
        <w:tab/>
      </w:r>
      <w:r>
        <w:t>- Mức tối đa không quá 200.000đ/người/ngày (ngủ lại qua đêm ).</w:t>
      </w:r>
    </w:p>
    <w:p w14:paraId="6BBC10D1">
      <w:pPr>
        <w:spacing w:before="120" w:after="120"/>
        <w:ind w:firstLine="720"/>
        <w:jc w:val="both"/>
        <w:rPr>
          <w:i/>
          <w:iCs/>
        </w:rPr>
      </w:pPr>
      <w:r>
        <w:rPr>
          <w:i/>
          <w:iCs/>
        </w:rPr>
        <w:t xml:space="preserve">*/Đi công tác tại vùng biển, biển đảo: </w:t>
      </w:r>
      <w:r>
        <w:t>250.000đồng/người</w:t>
      </w:r>
      <w:r>
        <w:rPr>
          <w:rFonts w:ascii="Arial" w:hAnsi="Arial" w:cs="Arial"/>
        </w:rPr>
        <w:t>/</w:t>
      </w:r>
      <w:r>
        <w:t>ngày</w:t>
      </w:r>
    </w:p>
    <w:p w14:paraId="28DE01FC">
      <w:pPr>
        <w:spacing w:before="120" w:after="120"/>
        <w:ind w:firstLine="570"/>
        <w:jc w:val="both"/>
        <w:rPr>
          <w:b/>
          <w:bCs/>
          <w:color w:val="000000"/>
        </w:rPr>
      </w:pPr>
      <w:r>
        <w:rPr>
          <w:b/>
          <w:bCs/>
        </w:rPr>
        <w:t xml:space="preserve">3. </w:t>
      </w:r>
      <w:r>
        <w:rPr>
          <w:b/>
          <w:bCs/>
          <w:color w:val="000000"/>
        </w:rPr>
        <w:t xml:space="preserve">Tiền thuê phòng nghỉ </w:t>
      </w:r>
    </w:p>
    <w:p w14:paraId="67FEF54A">
      <w:pPr>
        <w:spacing w:before="120" w:after="120"/>
        <w:ind w:firstLine="570"/>
        <w:jc w:val="both"/>
        <w:rPr>
          <w:color w:val="000000"/>
        </w:rPr>
      </w:pPr>
      <w:r>
        <w:rPr>
          <w:color w:val="000000"/>
        </w:rPr>
        <w:t>Thanh toán tiền thuê phòng nghỉ theo hình thức khoán, cụ thể như sau:</w:t>
      </w:r>
    </w:p>
    <w:p w14:paraId="3B15026E">
      <w:pPr>
        <w:spacing w:before="120" w:after="120"/>
        <w:ind w:firstLine="567"/>
        <w:jc w:val="both"/>
        <w:rPr>
          <w:color w:val="000000"/>
        </w:rPr>
      </w:pPr>
      <w:r>
        <w:rPr>
          <w:color w:val="000000"/>
        </w:rPr>
        <w:t>- Đi công tác ở quận thuộc thành phố Hà Nội, thành phố Hồ Chí Minh, thành phố Hải Phòng, thành phố Cần Thơ, thành phố Đà Nẵng và thành phố thuộc đô thị loại I  thuộc tỉnh (</w:t>
      </w:r>
      <w:r>
        <w:rPr>
          <w:color w:val="000000"/>
          <w:highlight w:val="yellow"/>
        </w:rPr>
        <w:t>Tỉnh Quảng Ninh: TP Hạ Long</w:t>
      </w:r>
      <w:r>
        <w:rPr>
          <w:color w:val="000000"/>
        </w:rPr>
        <w:t xml:space="preserve"> ). Mức khoán: </w:t>
      </w:r>
      <w:r>
        <w:rPr>
          <w:color w:val="000000"/>
          <w:highlight w:val="yellow"/>
        </w:rPr>
        <w:t>400.000đồng/người</w:t>
      </w:r>
      <w:r>
        <w:rPr>
          <w:color w:val="000000"/>
        </w:rPr>
        <w:t xml:space="preserve">/ngày đối với người đi công tác lẻ, </w:t>
      </w:r>
      <w:r>
        <w:rPr>
          <w:color w:val="000000"/>
          <w:highlight w:val="yellow"/>
        </w:rPr>
        <w:t>350.000đồng</w:t>
      </w:r>
      <w:r>
        <w:rPr>
          <w:color w:val="000000"/>
        </w:rPr>
        <w:t>/người/ngày đối với người đi công tác theo đoàn.</w:t>
      </w:r>
    </w:p>
    <w:p w14:paraId="300B1B0A">
      <w:pPr>
        <w:spacing w:before="120" w:after="120"/>
        <w:ind w:firstLine="567"/>
        <w:jc w:val="both"/>
        <w:rPr>
          <w:color w:val="000000"/>
          <w:spacing w:val="-8"/>
        </w:rPr>
      </w:pPr>
      <w:r>
        <w:rPr>
          <w:color w:val="000000"/>
          <w:spacing w:val="-8"/>
        </w:rPr>
        <w:t>- Đi công tác tại huyện thuộc các thành phố trực trung ương, tại thị xã, thành phố còn lại thuộc tỉnh (Tỉnh Quảng Ninh: TP Uông Bí, TP Móng Cái, TP Cẩm Phả, thị xã Quảng Yên, thị xã Đông Triều): Mức khoán 350.000đồng/ngày/người đối với người đi công tác lẻ, 30</w:t>
      </w:r>
      <w:r>
        <w:rPr>
          <w:color w:val="000000"/>
          <w:spacing w:val="-8"/>
          <w:lang w:val="vi-VN"/>
        </w:rPr>
        <w:t>0</w:t>
      </w:r>
      <w:r>
        <w:rPr>
          <w:color w:val="000000"/>
          <w:spacing w:val="-8"/>
        </w:rPr>
        <w:t>.000đồng/người/ngày đối với người đi công tác theo đoàn.</w:t>
      </w:r>
    </w:p>
    <w:p w14:paraId="351929BF">
      <w:pPr>
        <w:spacing w:before="120" w:after="120"/>
        <w:ind w:firstLine="570"/>
        <w:jc w:val="both"/>
        <w:rPr>
          <w:color w:val="000000"/>
        </w:rPr>
      </w:pPr>
      <w:r>
        <w:rPr>
          <w:b/>
          <w:bCs/>
          <w:i/>
          <w:iCs/>
          <w:color w:val="000000"/>
        </w:rPr>
        <w:t xml:space="preserve">- </w:t>
      </w:r>
      <w:r>
        <w:rPr>
          <w:color w:val="000000"/>
        </w:rPr>
        <w:t>Đi công tác tại các vùng còn lại: 300.000đồng/người/ngày đối với người đi công tác lẻ, 250.000đồng/người/ngày đối với người đi công tác theo đoàn.</w:t>
      </w:r>
    </w:p>
    <w:p w14:paraId="2163596F">
      <w:pPr>
        <w:spacing w:before="120" w:after="120"/>
        <w:ind w:left="57" w:firstLine="513"/>
        <w:jc w:val="both"/>
        <w:rPr>
          <w:b/>
          <w:bCs/>
          <w:i/>
          <w:iCs/>
        </w:rPr>
      </w:pPr>
      <w:r>
        <w:rPr>
          <w:b/>
          <w:bCs/>
          <w:i/>
          <w:iCs/>
        </w:rPr>
        <w:t>*/Lưu ý:</w:t>
      </w:r>
      <w:r>
        <w:t xml:space="preserve"> Đi công tác ngoài huyện và thời gian triệu tập từ 7</w:t>
      </w:r>
      <w:r>
        <w:rPr>
          <w:vertAlign w:val="superscript"/>
        </w:rPr>
        <w:t>h</w:t>
      </w:r>
      <w:r>
        <w:t>30’ trở về trước ở các địa phương cách xa từ 90 km, tuỳ theo tính chất nghiệp vụ có thể đi từ hôm trước phải được Hiệu trưởng phê duyệt thì được thanh toán thêm 01 tối ngủ.</w:t>
      </w:r>
    </w:p>
    <w:p w14:paraId="7B6AB104">
      <w:pPr>
        <w:spacing w:before="120" w:after="120"/>
        <w:ind w:firstLine="570"/>
        <w:jc w:val="both"/>
        <w:rPr>
          <w:b/>
          <w:bCs/>
          <w:color w:val="000000"/>
        </w:rPr>
      </w:pPr>
      <w:r>
        <w:rPr>
          <w:b/>
          <w:bCs/>
        </w:rPr>
        <w:t xml:space="preserve">4. </w:t>
      </w:r>
      <w:r>
        <w:rPr>
          <w:b/>
          <w:bCs/>
          <w:color w:val="000000"/>
        </w:rPr>
        <w:t>Khoán công tác phí</w:t>
      </w:r>
    </w:p>
    <w:p w14:paraId="4F7DAB4E">
      <w:pPr>
        <w:spacing w:before="120" w:after="120"/>
        <w:ind w:firstLine="570"/>
        <w:jc w:val="both"/>
        <w:rPr>
          <w:b/>
          <w:bCs/>
          <w:color w:val="000000"/>
        </w:rPr>
      </w:pPr>
      <w:r>
        <w:rPr>
          <w:bCs/>
          <w:lang w:val="nl-NL"/>
        </w:rPr>
        <w:t>Đối tượng khoán công tác phí phải thường xuyên đi công tác lưu động trên 10 ngày/tháng: Kế toán</w:t>
      </w:r>
    </w:p>
    <w:p w14:paraId="096A9A4F">
      <w:pPr>
        <w:spacing w:before="120" w:after="120"/>
        <w:ind w:firstLine="570"/>
        <w:jc w:val="both"/>
      </w:pPr>
      <w:r>
        <w:rPr>
          <w:color w:val="000000"/>
        </w:rPr>
        <w:t>- Mức khoán:</w:t>
      </w:r>
      <w:r>
        <w:t xml:space="preserve"> 500.000đ/tháng.</w:t>
      </w:r>
    </w:p>
    <w:p w14:paraId="59AE7894">
      <w:pPr>
        <w:spacing w:before="120" w:after="120"/>
        <w:ind w:firstLine="567"/>
        <w:jc w:val="both"/>
        <w:rPr>
          <w:color w:val="FF0000"/>
        </w:rPr>
      </w:pPr>
      <w:r>
        <w:rPr>
          <w:b/>
          <w:bCs/>
          <w:i/>
          <w:iCs/>
          <w:color w:val="000000"/>
        </w:rPr>
        <w:t xml:space="preserve">* Đối với trường hợp được cử đi công tác ngoài huyện thanh toán: </w:t>
      </w:r>
      <w:r>
        <w:t xml:space="preserve">Tiền vé xe, phụ cấp lưu trú, tiền thuê phòng ngủ theo </w:t>
      </w:r>
      <w:r>
        <w:rPr>
          <w:color w:val="000000"/>
        </w:rPr>
        <w:t>các Khoản 1, 2, 3 như trên</w:t>
      </w:r>
      <w:r>
        <w:rPr>
          <w:color w:val="FF0000"/>
        </w:rPr>
        <w:t>.</w:t>
      </w:r>
    </w:p>
    <w:p w14:paraId="1B013BC6">
      <w:pPr>
        <w:spacing w:before="120" w:after="120"/>
        <w:ind w:firstLine="567"/>
        <w:jc w:val="both"/>
        <w:rPr>
          <w:b/>
          <w:bCs/>
        </w:rPr>
      </w:pPr>
      <w:r>
        <w:rPr>
          <w:b/>
          <w:bCs/>
        </w:rPr>
        <w:t>Điều 12. Chi phí thuê mướn:</w:t>
      </w:r>
    </w:p>
    <w:p w14:paraId="2F3590B2">
      <w:pPr>
        <w:spacing w:before="120" w:after="120"/>
        <w:ind w:firstLine="720"/>
        <w:jc w:val="both"/>
      </w:pPr>
      <w:r>
        <w:t>- Chi tiền công thuê hợp đồng thỉnh giảng dạy thay do thiếu giáo viên, nghỉ thai sản: Căn cứ công văn số 892/PGD-ĐT ngày 28/9/2022 về việc Hướng dẫn các cơ sở giáo dục trực thuộc hợp đồng thỉnh giảng đối với giáo viên:</w:t>
      </w:r>
    </w:p>
    <w:p w14:paraId="2C5B0692">
      <w:pPr>
        <w:spacing w:before="120" w:after="120"/>
        <w:ind w:firstLine="720"/>
        <w:jc w:val="both"/>
      </w:pPr>
      <w:r>
        <w:t>Cách tính: 100.000đ/tiết x số tiết thực dạy thực tế;</w:t>
      </w:r>
    </w:p>
    <w:p w14:paraId="04B94D01">
      <w:pPr>
        <w:spacing w:before="120" w:after="120"/>
        <w:ind w:firstLine="720"/>
        <w:jc w:val="both"/>
      </w:pPr>
      <w:r>
        <w:t>- Tiền công hợp đồng bảo vệ, lao công vệ sinh theo Quyết định của trường:</w:t>
      </w:r>
    </w:p>
    <w:p w14:paraId="3E60C6BF">
      <w:pPr>
        <w:spacing w:before="120" w:after="120"/>
        <w:ind w:firstLine="720"/>
        <w:jc w:val="both"/>
      </w:pPr>
      <w:r>
        <w:t xml:space="preserve">+ Điểm chính: (03 người): </w:t>
      </w:r>
      <w:r>
        <w:rPr>
          <w:rFonts w:hint="default"/>
          <w:lang w:val="vi-VN"/>
        </w:rPr>
        <w:t>5.0</w:t>
      </w:r>
      <w:r>
        <w:t>00.000 đồng/người/tháng. (Gồm 02 bảo vệ, 01 lao công vệ sinh);</w:t>
      </w:r>
    </w:p>
    <w:p w14:paraId="21B568BA">
      <w:pPr>
        <w:spacing w:before="120" w:after="120"/>
        <w:ind w:firstLine="720"/>
        <w:rPr>
          <w:lang w:val="vi-VN"/>
        </w:rPr>
      </w:pPr>
      <w:r>
        <w:t>+ Điểm lẻ: (03 điểm trường</w:t>
      </w:r>
      <w:r>
        <w:rPr>
          <w:lang w:val="vi-VN"/>
        </w:rPr>
        <w:t>/</w:t>
      </w:r>
      <w:r>
        <w:t xml:space="preserve">03 người): </w:t>
      </w:r>
      <w:r>
        <w:rPr>
          <w:rFonts w:hint="default"/>
          <w:lang w:val="vi-VN"/>
        </w:rPr>
        <w:t>5.0</w:t>
      </w:r>
      <w:r>
        <w:t>00.000đ/người/điểm trường/tháng. (Bảo vệ kiêm lao công).</w:t>
      </w:r>
    </w:p>
    <w:p w14:paraId="74CFF1C9">
      <w:pPr>
        <w:spacing w:before="120" w:after="120"/>
        <w:ind w:firstLine="720"/>
        <w:jc w:val="both"/>
        <w:rPr>
          <w:b/>
          <w:bCs/>
        </w:rPr>
      </w:pPr>
      <w:r>
        <w:t>- Đối với các khoản thuê mướn khác: Nhân công sửa chữa, thuê phương tiện vận tải, thuê mướn khác căn cứ vào nhu cầu và tình hình giá cả thực tế tại địa phương để chi trả.</w:t>
      </w:r>
    </w:p>
    <w:p w14:paraId="4621D3CA">
      <w:pPr>
        <w:spacing w:before="120" w:after="120"/>
        <w:ind w:firstLine="720"/>
        <w:jc w:val="both"/>
        <w:rPr>
          <w:b/>
          <w:bCs/>
        </w:rPr>
      </w:pPr>
      <w:r>
        <w:rPr>
          <w:b/>
          <w:bCs/>
        </w:rPr>
        <w:t xml:space="preserve">Điều 13. Chi chuyên môn, nghiệp vụ </w:t>
      </w:r>
    </w:p>
    <w:p w14:paraId="1AC6BE6F">
      <w:pPr>
        <w:spacing w:before="120" w:after="120"/>
        <w:jc w:val="both"/>
        <w:rPr>
          <w:b/>
          <w:bCs/>
        </w:rPr>
      </w:pPr>
      <w:r>
        <w:rPr>
          <w:b/>
          <w:bCs/>
        </w:rPr>
        <w:tab/>
      </w:r>
      <w:r>
        <w:rPr>
          <w:b/>
          <w:bCs/>
        </w:rPr>
        <w:t>1. Chi mua hàng hoá dùng cho chuyên môn</w:t>
      </w:r>
    </w:p>
    <w:p w14:paraId="287426E8">
      <w:pPr>
        <w:spacing w:before="120" w:after="120"/>
        <w:ind w:firstLine="660"/>
        <w:jc w:val="both"/>
        <w:rPr>
          <w:b/>
          <w:bCs/>
        </w:rPr>
      </w:pPr>
      <w:r>
        <w:rPr>
          <w:b/>
          <w:bCs/>
        </w:rPr>
        <w:t xml:space="preserve">- </w:t>
      </w:r>
      <w:r>
        <w:t>Sổ sách, giáo án, ấn phẩm, sách, tài liệu tam khảo... dùng cho cán bộ, giáo viên, chuyên môn theo thực tế và được Hiệu trưởng phê duyệt.</w:t>
      </w:r>
    </w:p>
    <w:p w14:paraId="512A3FFF">
      <w:pPr>
        <w:spacing w:before="120" w:after="120"/>
        <w:ind w:firstLine="660"/>
        <w:jc w:val="both"/>
        <w:rPr>
          <w:b/>
          <w:bCs/>
          <w:spacing w:val="-12"/>
        </w:rPr>
      </w:pPr>
      <w:r>
        <w:rPr>
          <w:b/>
          <w:bCs/>
          <w:spacing w:val="-12"/>
        </w:rPr>
        <w:t xml:space="preserve">- </w:t>
      </w:r>
      <w:r>
        <w:rPr>
          <w:spacing w:val="-12"/>
        </w:rPr>
        <w:t>Thiết bị kỹ thuật chuyên môn: Chi theo thực tế và được Hiệu trưởng phê duyệt.</w:t>
      </w:r>
    </w:p>
    <w:p w14:paraId="5CE60DA0">
      <w:pPr>
        <w:spacing w:before="120" w:after="120"/>
        <w:jc w:val="both"/>
        <w:rPr>
          <w:b/>
          <w:bCs/>
        </w:rPr>
      </w:pPr>
      <w:r>
        <w:tab/>
      </w:r>
      <w:r>
        <w:t>- Các hàng hoá khác phục vụ cho công tác chuyên môn theo thực tế và được Hiệu trưởng phê duyệt.</w:t>
      </w:r>
    </w:p>
    <w:p w14:paraId="00A593DD">
      <w:pPr>
        <w:spacing w:before="120" w:after="120"/>
        <w:jc w:val="both"/>
        <w:rPr>
          <w:b/>
          <w:bCs/>
        </w:rPr>
      </w:pPr>
      <w:r>
        <w:rPr>
          <w:b/>
          <w:bCs/>
        </w:rPr>
        <w:tab/>
      </w:r>
      <w:r>
        <w:rPr>
          <w:b/>
          <w:bCs/>
        </w:rPr>
        <w:t>2. Chi hoạt động chuyên môn, chuyên đề, ngoại khoá</w:t>
      </w:r>
    </w:p>
    <w:p w14:paraId="6B262581">
      <w:pPr>
        <w:spacing w:before="120" w:after="120"/>
        <w:ind w:firstLine="289"/>
        <w:jc w:val="both"/>
        <w:rPr>
          <w:sz w:val="27"/>
          <w:szCs w:val="27"/>
        </w:rPr>
      </w:pPr>
      <w:r>
        <w:rPr>
          <w:lang w:val="nl-NL"/>
        </w:rPr>
        <w:tab/>
      </w:r>
      <w:r>
        <w:rPr>
          <w:sz w:val="27"/>
          <w:szCs w:val="27"/>
        </w:rPr>
        <w:tab/>
      </w:r>
      <w:r>
        <w:rPr>
          <w:b/>
          <w:sz w:val="27"/>
          <w:szCs w:val="27"/>
        </w:rPr>
        <w:t>a.</w:t>
      </w:r>
      <w:r>
        <w:rPr>
          <w:sz w:val="27"/>
          <w:szCs w:val="27"/>
        </w:rPr>
        <w:t xml:space="preserve"> </w:t>
      </w:r>
      <w:r>
        <w:rPr>
          <w:b/>
          <w:i/>
          <w:sz w:val="27"/>
          <w:szCs w:val="27"/>
        </w:rPr>
        <w:t>Các cuộc thi văn hoá, văn nghệ, TDTT, Hội khoẻ Phù Đổng</w:t>
      </w:r>
    </w:p>
    <w:p w14:paraId="3179A3C0">
      <w:pPr>
        <w:spacing w:before="120" w:after="120"/>
        <w:ind w:firstLine="289"/>
        <w:jc w:val="both"/>
        <w:rPr>
          <w:b/>
          <w:i/>
          <w:sz w:val="27"/>
          <w:szCs w:val="27"/>
        </w:rPr>
      </w:pPr>
      <w:r>
        <w:rPr>
          <w:b/>
          <w:sz w:val="27"/>
          <w:szCs w:val="27"/>
        </w:rPr>
        <w:tab/>
      </w:r>
      <w:r>
        <w:rPr>
          <w:b/>
          <w:i/>
          <w:sz w:val="27"/>
          <w:szCs w:val="27"/>
        </w:rPr>
        <w:t>*/Đối với các cuộc thi văn hoá, văn nghệ:</w:t>
      </w:r>
    </w:p>
    <w:p w14:paraId="228BD2B2">
      <w:pPr>
        <w:spacing w:before="120" w:after="120"/>
        <w:ind w:firstLine="289"/>
        <w:jc w:val="both"/>
        <w:rPr>
          <w:b/>
          <w:i/>
          <w:sz w:val="27"/>
          <w:szCs w:val="27"/>
        </w:rPr>
      </w:pPr>
      <w:r>
        <w:rPr>
          <w:b/>
          <w:i/>
          <w:sz w:val="27"/>
          <w:szCs w:val="27"/>
        </w:rPr>
        <w:tab/>
      </w:r>
      <w:r>
        <w:rPr>
          <w:b/>
          <w:i/>
          <w:sz w:val="27"/>
          <w:szCs w:val="27"/>
        </w:rPr>
        <w:t>- Các cuộc thi cấp trường:</w:t>
      </w:r>
    </w:p>
    <w:p w14:paraId="691EB740">
      <w:pPr>
        <w:spacing w:before="120" w:after="120"/>
        <w:ind w:firstLine="289"/>
        <w:jc w:val="both"/>
        <w:rPr>
          <w:color w:val="FF0000"/>
          <w:sz w:val="27"/>
          <w:szCs w:val="27"/>
        </w:rPr>
      </w:pPr>
      <w:r>
        <w:rPr>
          <w:b/>
          <w:i/>
          <w:sz w:val="27"/>
          <w:szCs w:val="27"/>
        </w:rPr>
        <w:t xml:space="preserve"> </w:t>
      </w:r>
      <w:r>
        <w:rPr>
          <w:b/>
          <w:i/>
          <w:sz w:val="27"/>
          <w:szCs w:val="27"/>
        </w:rPr>
        <w:tab/>
      </w:r>
      <w:r>
        <w:rPr>
          <w:b/>
          <w:i/>
          <w:sz w:val="27"/>
          <w:szCs w:val="27"/>
        </w:rPr>
        <w:t xml:space="preserve">Các cuộc thi dành cho giáo viên ( </w:t>
      </w:r>
      <w:r>
        <w:rPr>
          <w:i/>
          <w:sz w:val="27"/>
          <w:szCs w:val="27"/>
        </w:rPr>
        <w:t xml:space="preserve">giáo viên dạy giỏi, giáo viên chủ nhiệm giỏi,...) </w:t>
      </w:r>
      <w:r>
        <w:rPr>
          <w:color w:val="FF0000"/>
          <w:sz w:val="27"/>
          <w:szCs w:val="27"/>
        </w:rPr>
        <w:t>áp dụng theo Nghị quyết số 07/2022/NQ-HĐND ngày 09/12/2022 của Hội đồng nhân dân tỉnh Quảng Ninh về việc quy định nội dung, mức chi tổ chức các kỳ thi, cuộc thi, hội thi trong lĩnh vực giáo dục của tỉnh Quảng Ninh.</w:t>
      </w:r>
    </w:p>
    <w:p w14:paraId="5A69021E">
      <w:pPr>
        <w:spacing w:before="120" w:after="120"/>
        <w:ind w:firstLine="289"/>
        <w:jc w:val="both"/>
        <w:rPr>
          <w:i/>
          <w:sz w:val="27"/>
          <w:szCs w:val="27"/>
        </w:rPr>
      </w:pPr>
      <w:r>
        <w:rPr>
          <w:i/>
          <w:sz w:val="27"/>
          <w:szCs w:val="27"/>
        </w:rPr>
        <w:tab/>
      </w:r>
      <w:r>
        <w:rPr>
          <w:i/>
          <w:sz w:val="27"/>
          <w:szCs w:val="27"/>
        </w:rPr>
        <w:t>Nội dung chi và mức chi cụ thể như sau:</w:t>
      </w:r>
    </w:p>
    <w:p w14:paraId="09831A02">
      <w:pPr>
        <w:spacing w:before="120" w:after="120"/>
        <w:jc w:val="both"/>
        <w:rPr>
          <w:b/>
          <w:sz w:val="27"/>
          <w:szCs w:val="27"/>
        </w:rPr>
      </w:pPr>
      <w:r>
        <w:rPr>
          <w:b/>
          <w:sz w:val="27"/>
          <w:szCs w:val="27"/>
        </w:rPr>
        <w:tab/>
      </w:r>
      <w:r>
        <w:rPr>
          <w:b/>
          <w:sz w:val="27"/>
          <w:szCs w:val="27"/>
        </w:rPr>
        <w:t xml:space="preserve">+ </w:t>
      </w:r>
      <w:r>
        <w:rPr>
          <w:sz w:val="27"/>
          <w:szCs w:val="27"/>
        </w:rPr>
        <w:t>Trang trí khánh tiết: Theo thực tế.</w:t>
      </w:r>
    </w:p>
    <w:p w14:paraId="058981CB">
      <w:pPr>
        <w:spacing w:before="120" w:after="120"/>
        <w:jc w:val="both"/>
        <w:rPr>
          <w:sz w:val="27"/>
          <w:szCs w:val="27"/>
        </w:rPr>
      </w:pPr>
      <w:r>
        <w:rPr>
          <w:b/>
          <w:sz w:val="27"/>
          <w:szCs w:val="27"/>
        </w:rPr>
        <w:tab/>
      </w:r>
      <w:r>
        <w:rPr>
          <w:b/>
          <w:sz w:val="27"/>
          <w:szCs w:val="27"/>
        </w:rPr>
        <w:t xml:space="preserve">+ </w:t>
      </w:r>
      <w:r>
        <w:rPr>
          <w:sz w:val="27"/>
          <w:szCs w:val="27"/>
        </w:rPr>
        <w:t xml:space="preserve">Nước uống: </w:t>
      </w:r>
      <w:r>
        <w:rPr>
          <w:color w:val="000000"/>
          <w:sz w:val="27"/>
          <w:szCs w:val="27"/>
        </w:rPr>
        <w:t>20.000đồng/người/buổi (nửa ngày), 30.000đồng/người/ngày.</w:t>
      </w:r>
    </w:p>
    <w:p w14:paraId="0744EBAB">
      <w:pPr>
        <w:spacing w:before="120" w:after="120"/>
        <w:jc w:val="both"/>
        <w:rPr>
          <w:sz w:val="27"/>
          <w:szCs w:val="27"/>
        </w:rPr>
      </w:pPr>
      <w:r>
        <w:rPr>
          <w:sz w:val="27"/>
          <w:szCs w:val="27"/>
        </w:rPr>
        <w:tab/>
      </w:r>
      <w:r>
        <w:rPr>
          <w:sz w:val="27"/>
          <w:szCs w:val="27"/>
        </w:rPr>
        <w:t>+ Văn phòng phẩm, hàng hoá khác: Theo thực tế trên cơ sở tiết kiệm.</w:t>
      </w:r>
    </w:p>
    <w:p w14:paraId="7A11A4F5">
      <w:pPr>
        <w:spacing w:before="120" w:after="120"/>
        <w:jc w:val="both"/>
        <w:rPr>
          <w:color w:val="FF0000"/>
          <w:sz w:val="27"/>
          <w:szCs w:val="27"/>
        </w:rPr>
      </w:pPr>
      <w:r>
        <w:rPr>
          <w:sz w:val="27"/>
          <w:szCs w:val="27"/>
        </w:rPr>
        <w:tab/>
      </w:r>
      <w:r>
        <w:rPr>
          <w:color w:val="FF0000"/>
          <w:sz w:val="27"/>
          <w:szCs w:val="27"/>
        </w:rPr>
        <w:t>+ Chế độ bồi dưỡng cho Ban tổ chức, Ban giám khảo, Ban ra đề thi áp dụng bằng 40% mức chi tiền công của cấp tỉnh theo Nghị quyết số 07/2022/NQ-HĐND, cụ thể:</w:t>
      </w:r>
    </w:p>
    <w:p w14:paraId="11F240CB">
      <w:pPr>
        <w:spacing w:before="120" w:after="120"/>
        <w:jc w:val="both"/>
        <w:rPr>
          <w:sz w:val="27"/>
          <w:szCs w:val="27"/>
        </w:rPr>
      </w:pPr>
      <w:r>
        <w:rPr>
          <w:color w:val="FF0000"/>
          <w:sz w:val="27"/>
          <w:szCs w:val="27"/>
        </w:rPr>
        <w:tab/>
      </w:r>
      <w:r>
        <w:rPr>
          <w:sz w:val="27"/>
          <w:szCs w:val="27"/>
        </w:rPr>
        <w:t>Ban tổ chức: Trưởng ban: 196.000đ/người/ngày;</w:t>
      </w:r>
      <w:r>
        <w:rPr>
          <w:color w:val="FF0000"/>
          <w:sz w:val="27"/>
          <w:szCs w:val="27"/>
        </w:rPr>
        <w:t xml:space="preserve"> </w:t>
      </w:r>
      <w:r>
        <w:rPr>
          <w:sz w:val="27"/>
          <w:szCs w:val="27"/>
        </w:rPr>
        <w:t>phó trưởng ban: 176.000đ/người/ngày; thành viên: 156.000đ/người/ngày; y tế, phục vụ, bảo vệ: 80.000đ/người/ngày.</w:t>
      </w:r>
    </w:p>
    <w:p w14:paraId="15AC73E8">
      <w:pPr>
        <w:spacing w:before="120" w:after="120"/>
        <w:jc w:val="both"/>
        <w:rPr>
          <w:sz w:val="27"/>
          <w:szCs w:val="27"/>
        </w:rPr>
      </w:pPr>
      <w:r>
        <w:rPr>
          <w:sz w:val="27"/>
          <w:szCs w:val="27"/>
        </w:rPr>
        <w:tab/>
      </w:r>
      <w:r>
        <w:rPr>
          <w:sz w:val="27"/>
          <w:szCs w:val="27"/>
        </w:rPr>
        <w:t>Ban giám khảo: Trưởng ban: 176.000đ/người/ngày; phó trưởng ban: 160.000đ/người/ngày; thành viên, thư ký: 124.000đ/người/ngày.</w:t>
      </w:r>
    </w:p>
    <w:p w14:paraId="13E73BB0">
      <w:pPr>
        <w:spacing w:before="120" w:after="120"/>
        <w:jc w:val="both"/>
        <w:rPr>
          <w:sz w:val="27"/>
          <w:szCs w:val="27"/>
        </w:rPr>
      </w:pPr>
      <w:r>
        <w:rPr>
          <w:sz w:val="27"/>
          <w:szCs w:val="27"/>
        </w:rPr>
        <w:tab/>
      </w:r>
      <w:r>
        <w:rPr>
          <w:sz w:val="27"/>
          <w:szCs w:val="27"/>
        </w:rPr>
        <w:t>Ban ra đề thi: Trưởng ban: 208.000đ/người/ngày; thành viên: 148.000đ/người/ngày.</w:t>
      </w:r>
    </w:p>
    <w:p w14:paraId="28E98F74">
      <w:pPr>
        <w:spacing w:before="120" w:after="120"/>
        <w:jc w:val="both"/>
        <w:rPr>
          <w:b/>
          <w:sz w:val="27"/>
          <w:szCs w:val="27"/>
        </w:rPr>
      </w:pPr>
      <w:r>
        <w:rPr>
          <w:sz w:val="27"/>
          <w:szCs w:val="27"/>
        </w:rPr>
        <w:tab/>
      </w:r>
      <w:r>
        <w:rPr>
          <w:sz w:val="27"/>
          <w:szCs w:val="27"/>
        </w:rPr>
        <w:t>+  Khen thưởng giáo viên dạy giỏi, giáo viên chủ nhiệm giỏi: 200.000đ/người.</w:t>
      </w:r>
    </w:p>
    <w:p w14:paraId="233117AE">
      <w:pPr>
        <w:spacing w:before="120" w:after="120"/>
        <w:ind w:firstLine="720"/>
        <w:jc w:val="both"/>
        <w:rPr>
          <w:color w:val="FF0000"/>
          <w:sz w:val="27"/>
          <w:szCs w:val="27"/>
        </w:rPr>
      </w:pPr>
      <w:r>
        <w:rPr>
          <w:b/>
          <w:i/>
          <w:sz w:val="27"/>
          <w:szCs w:val="27"/>
        </w:rPr>
        <w:t>Các cuộc thi dành cho học sinh</w:t>
      </w:r>
      <w:r>
        <w:rPr>
          <w:i/>
          <w:sz w:val="27"/>
          <w:szCs w:val="27"/>
        </w:rPr>
        <w:t xml:space="preserve"> ( thi văn nghệ, giao lưu Tiếng Việt của chúng em,...)</w:t>
      </w:r>
      <w:r>
        <w:rPr>
          <w:color w:val="FF0000"/>
          <w:sz w:val="27"/>
          <w:szCs w:val="27"/>
        </w:rPr>
        <w:t>áp dụng theo Nghị quyết số 07/2022/NQ-HĐND ngày 09/12/2022 của Hội đồng nhân dân tỉnh Quảng Ninh về việc quy định nội dung, mức chi tổ chức các kỳ thi, cuộc thi, hội thi trong lĩnh vực giáo dục của tỉnh Quảng Ninh.</w:t>
      </w:r>
    </w:p>
    <w:p w14:paraId="2D662D14">
      <w:pPr>
        <w:spacing w:before="120" w:after="120"/>
        <w:ind w:firstLine="289"/>
        <w:jc w:val="both"/>
        <w:rPr>
          <w:i/>
          <w:sz w:val="27"/>
          <w:szCs w:val="27"/>
        </w:rPr>
      </w:pPr>
      <w:r>
        <w:rPr>
          <w:i/>
          <w:sz w:val="27"/>
          <w:szCs w:val="27"/>
        </w:rPr>
        <w:tab/>
      </w:r>
      <w:r>
        <w:rPr>
          <w:i/>
          <w:sz w:val="27"/>
          <w:szCs w:val="27"/>
        </w:rPr>
        <w:t>Nội dung chi và mức chi cụ thể như sau:</w:t>
      </w:r>
    </w:p>
    <w:p w14:paraId="43DC1AF4">
      <w:pPr>
        <w:spacing w:before="120" w:after="120"/>
        <w:jc w:val="both"/>
        <w:rPr>
          <w:b/>
          <w:sz w:val="27"/>
          <w:szCs w:val="27"/>
        </w:rPr>
      </w:pPr>
      <w:r>
        <w:rPr>
          <w:b/>
          <w:sz w:val="27"/>
          <w:szCs w:val="27"/>
        </w:rPr>
        <w:tab/>
      </w:r>
      <w:r>
        <w:rPr>
          <w:b/>
          <w:sz w:val="27"/>
          <w:szCs w:val="27"/>
        </w:rPr>
        <w:t xml:space="preserve">+ </w:t>
      </w:r>
      <w:r>
        <w:rPr>
          <w:sz w:val="27"/>
          <w:szCs w:val="27"/>
        </w:rPr>
        <w:t>Trang trí khánh tiết: Theo thực tế.</w:t>
      </w:r>
    </w:p>
    <w:p w14:paraId="6E02CF71">
      <w:pPr>
        <w:spacing w:before="120" w:after="120"/>
        <w:jc w:val="both"/>
        <w:rPr>
          <w:sz w:val="27"/>
          <w:szCs w:val="27"/>
        </w:rPr>
      </w:pPr>
      <w:r>
        <w:rPr>
          <w:b/>
          <w:sz w:val="27"/>
          <w:szCs w:val="27"/>
        </w:rPr>
        <w:tab/>
      </w:r>
      <w:r>
        <w:rPr>
          <w:b/>
          <w:sz w:val="27"/>
          <w:szCs w:val="27"/>
        </w:rPr>
        <w:t xml:space="preserve">+ </w:t>
      </w:r>
      <w:r>
        <w:rPr>
          <w:sz w:val="27"/>
          <w:szCs w:val="27"/>
        </w:rPr>
        <w:t xml:space="preserve">Nước uống: </w:t>
      </w:r>
      <w:r>
        <w:rPr>
          <w:color w:val="000000"/>
          <w:sz w:val="27"/>
          <w:szCs w:val="27"/>
        </w:rPr>
        <w:t>20.000đồng/người/buổi (nửa ngày), 30.000đồng/người/ngày.</w:t>
      </w:r>
    </w:p>
    <w:p w14:paraId="7CDD02DB">
      <w:pPr>
        <w:spacing w:before="120" w:after="120"/>
        <w:jc w:val="both"/>
        <w:rPr>
          <w:sz w:val="27"/>
          <w:szCs w:val="27"/>
        </w:rPr>
      </w:pPr>
      <w:r>
        <w:rPr>
          <w:sz w:val="27"/>
          <w:szCs w:val="27"/>
        </w:rPr>
        <w:tab/>
      </w:r>
      <w:r>
        <w:rPr>
          <w:sz w:val="27"/>
          <w:szCs w:val="27"/>
        </w:rPr>
        <w:t>+ Văn phòng phẩm, hàng hoá khác: Theo thực tế trên cơ sở tiết kiệm.</w:t>
      </w:r>
    </w:p>
    <w:p w14:paraId="45C37F79">
      <w:pPr>
        <w:spacing w:before="120" w:after="120"/>
        <w:jc w:val="both"/>
        <w:rPr>
          <w:color w:val="FF0000"/>
          <w:sz w:val="27"/>
          <w:szCs w:val="27"/>
        </w:rPr>
      </w:pPr>
      <w:r>
        <w:rPr>
          <w:sz w:val="27"/>
          <w:szCs w:val="27"/>
        </w:rPr>
        <w:tab/>
      </w:r>
      <w:r>
        <w:rPr>
          <w:color w:val="FF0000"/>
          <w:sz w:val="27"/>
          <w:szCs w:val="27"/>
        </w:rPr>
        <w:t>+ Chế độ bồi dưỡng cho Ban tổ chức, Ban ra đề thi áp dụng bằng 40% mức chi tiền công của cấp tỉnh theo Nghị quyết số 07/2022/NQ-HĐND, cụ thể:</w:t>
      </w:r>
    </w:p>
    <w:p w14:paraId="77FE1ECB">
      <w:pPr>
        <w:spacing w:before="120" w:after="120"/>
        <w:ind w:firstLine="720"/>
        <w:jc w:val="both"/>
        <w:rPr>
          <w:sz w:val="27"/>
          <w:szCs w:val="27"/>
        </w:rPr>
      </w:pPr>
      <w:r>
        <w:rPr>
          <w:sz w:val="27"/>
          <w:szCs w:val="27"/>
        </w:rPr>
        <w:t>Ban tổ chức: Trưởng ban: 176.000đ/người/ngày;</w:t>
      </w:r>
      <w:r>
        <w:rPr>
          <w:color w:val="FF0000"/>
          <w:sz w:val="27"/>
          <w:szCs w:val="27"/>
        </w:rPr>
        <w:t xml:space="preserve"> </w:t>
      </w:r>
      <w:r>
        <w:rPr>
          <w:sz w:val="27"/>
          <w:szCs w:val="27"/>
        </w:rPr>
        <w:t>phó trưởng ban: 160.000đ/người/ngày; thành viên: 144.000đ/người/ngày; y tế, phục vụ, bảo vệ: 80.000đ/người/ngày.</w:t>
      </w:r>
    </w:p>
    <w:p w14:paraId="6AF049C7">
      <w:pPr>
        <w:spacing w:before="120" w:after="120"/>
        <w:jc w:val="both"/>
        <w:rPr>
          <w:sz w:val="27"/>
          <w:szCs w:val="27"/>
        </w:rPr>
      </w:pPr>
      <w:r>
        <w:rPr>
          <w:sz w:val="27"/>
          <w:szCs w:val="27"/>
        </w:rPr>
        <w:tab/>
      </w:r>
      <w:r>
        <w:rPr>
          <w:sz w:val="27"/>
          <w:szCs w:val="27"/>
        </w:rPr>
        <w:t>Ban ra đề thi: Trưởng ban: 208.000đ/người/ngày; thành viên: 148.000đ/người/ngày.</w:t>
      </w:r>
    </w:p>
    <w:p w14:paraId="1F4B5733">
      <w:pPr>
        <w:spacing w:before="120" w:after="120"/>
        <w:jc w:val="both"/>
        <w:rPr>
          <w:sz w:val="27"/>
          <w:szCs w:val="27"/>
        </w:rPr>
      </w:pPr>
      <w:r>
        <w:rPr>
          <w:b/>
          <w:sz w:val="27"/>
          <w:szCs w:val="27"/>
        </w:rPr>
        <w:tab/>
      </w:r>
      <w:r>
        <w:rPr>
          <w:b/>
          <w:sz w:val="27"/>
          <w:szCs w:val="27"/>
        </w:rPr>
        <w:t xml:space="preserve">+ </w:t>
      </w:r>
      <w:r>
        <w:rPr>
          <w:sz w:val="27"/>
          <w:szCs w:val="27"/>
        </w:rPr>
        <w:t>Khen thưởng: Theo các nội dung của cuộc thi:</w:t>
      </w:r>
    </w:p>
    <w:p w14:paraId="285CF567">
      <w:pPr>
        <w:spacing w:before="120" w:after="120"/>
        <w:ind w:firstLine="720"/>
        <w:jc w:val="both"/>
        <w:rPr>
          <w:sz w:val="27"/>
          <w:szCs w:val="27"/>
        </w:rPr>
      </w:pPr>
      <w:r>
        <w:rPr>
          <w:sz w:val="27"/>
          <w:szCs w:val="27"/>
        </w:rPr>
        <w:t>Khen thưởng tập thể: Giải nhất: không quá  500.000đ/giải, giải nhì: không quá 400.000đ/giải, giải ba: không quá 300.000đ/giải, giải khuyến khích: không quá 200.000đ/giải;</w:t>
      </w:r>
    </w:p>
    <w:p w14:paraId="113F3AE6">
      <w:pPr>
        <w:spacing w:before="120" w:after="120"/>
        <w:ind w:firstLine="720"/>
        <w:jc w:val="both"/>
        <w:rPr>
          <w:sz w:val="27"/>
          <w:szCs w:val="27"/>
        </w:rPr>
      </w:pPr>
      <w:r>
        <w:rPr>
          <w:sz w:val="27"/>
          <w:szCs w:val="27"/>
        </w:rPr>
        <w:t>Khen thưởng cá nhân: Giải nhất: không quá  300.000đ/giải, giải nhì: không quá 250.000đ/giải, giải ba: không quá 150.000đ/giải, giải khuyến khích: không quá 100.000đ/giải.</w:t>
      </w:r>
    </w:p>
    <w:p w14:paraId="41C35229">
      <w:pPr>
        <w:spacing w:before="120" w:after="120"/>
        <w:ind w:firstLine="289"/>
        <w:jc w:val="both"/>
        <w:rPr>
          <w:b/>
          <w:i/>
          <w:sz w:val="27"/>
          <w:szCs w:val="27"/>
        </w:rPr>
      </w:pPr>
      <w:r>
        <w:rPr>
          <w:b/>
          <w:i/>
          <w:sz w:val="27"/>
          <w:szCs w:val="27"/>
        </w:rPr>
        <w:tab/>
      </w:r>
      <w:r>
        <w:rPr>
          <w:b/>
          <w:i/>
          <w:sz w:val="27"/>
          <w:szCs w:val="27"/>
        </w:rPr>
        <w:t>- Các cuộc thi cấp huyện:</w:t>
      </w:r>
    </w:p>
    <w:p w14:paraId="7D33C91B">
      <w:pPr>
        <w:spacing w:before="120" w:after="120"/>
        <w:ind w:firstLine="289"/>
        <w:jc w:val="both"/>
        <w:rPr>
          <w:color w:val="FF0000"/>
          <w:sz w:val="27"/>
          <w:szCs w:val="27"/>
        </w:rPr>
      </w:pPr>
      <w:r>
        <w:rPr>
          <w:b/>
          <w:i/>
          <w:sz w:val="27"/>
          <w:szCs w:val="27"/>
        </w:rPr>
        <w:tab/>
      </w:r>
      <w:r>
        <w:rPr>
          <w:b/>
          <w:i/>
          <w:sz w:val="27"/>
          <w:szCs w:val="27"/>
        </w:rPr>
        <w:t xml:space="preserve">Các cuộc thi dành cho giáo viên, học sinh: </w:t>
      </w:r>
      <w:r>
        <w:rPr>
          <w:color w:val="FF0000"/>
          <w:sz w:val="27"/>
          <w:szCs w:val="27"/>
        </w:rPr>
        <w:t>Áp dụng theo Nghị quyết số 07/2022/NQ-HĐND ngày 09/12/2022 của Hội đồng nhân dân tỉnh Quảng Ninh về việc quy định nội dung, mức chi tổ chức các kỳ thi, cuộc thi, hội thi trong lĩnh vực giáo dục của tỉnh Quảng Ninh.</w:t>
      </w:r>
    </w:p>
    <w:p w14:paraId="46B70552">
      <w:pPr>
        <w:spacing w:before="120" w:after="120"/>
        <w:ind w:firstLine="720"/>
        <w:jc w:val="both"/>
        <w:rPr>
          <w:sz w:val="27"/>
          <w:szCs w:val="27"/>
        </w:rPr>
      </w:pPr>
      <w:r>
        <w:rPr>
          <w:sz w:val="27"/>
          <w:szCs w:val="27"/>
        </w:rPr>
        <w:t>Nội dung và mức chi cụ thể như sau:</w:t>
      </w:r>
    </w:p>
    <w:p w14:paraId="76540602">
      <w:pPr>
        <w:spacing w:before="120" w:after="120"/>
        <w:jc w:val="both"/>
        <w:rPr>
          <w:sz w:val="27"/>
          <w:szCs w:val="27"/>
        </w:rPr>
      </w:pPr>
      <w:r>
        <w:rPr>
          <w:b/>
          <w:sz w:val="27"/>
          <w:szCs w:val="27"/>
        </w:rPr>
        <w:tab/>
      </w:r>
      <w:r>
        <w:rPr>
          <w:b/>
          <w:sz w:val="27"/>
          <w:szCs w:val="27"/>
        </w:rPr>
        <w:t xml:space="preserve">+ </w:t>
      </w:r>
      <w:r>
        <w:rPr>
          <w:sz w:val="27"/>
          <w:szCs w:val="27"/>
        </w:rPr>
        <w:t xml:space="preserve">Nước uống: </w:t>
      </w:r>
      <w:r>
        <w:rPr>
          <w:color w:val="000000"/>
          <w:sz w:val="27"/>
          <w:szCs w:val="27"/>
        </w:rPr>
        <w:t>20.000đồng/người/buổi (nửa ngày), 30.000đồng/người/ngày.</w:t>
      </w:r>
    </w:p>
    <w:p w14:paraId="10777829">
      <w:pPr>
        <w:spacing w:before="120" w:after="120"/>
        <w:ind w:firstLine="720"/>
        <w:jc w:val="both"/>
        <w:rPr>
          <w:sz w:val="27"/>
          <w:szCs w:val="27"/>
        </w:rPr>
      </w:pPr>
      <w:r>
        <w:rPr>
          <w:sz w:val="27"/>
          <w:szCs w:val="27"/>
        </w:rPr>
        <w:t>+ Mua hàng hóa và các chi phí khác phát sinh tuỳ theo tính chất, nội dụng của các cuộc thi chi theo thực tế.</w:t>
      </w:r>
    </w:p>
    <w:p w14:paraId="52497311">
      <w:pPr>
        <w:spacing w:before="120" w:after="120"/>
        <w:jc w:val="both"/>
        <w:rPr>
          <w:color w:val="FF0000"/>
          <w:sz w:val="27"/>
          <w:szCs w:val="27"/>
        </w:rPr>
      </w:pPr>
      <w:r>
        <w:rPr>
          <w:sz w:val="27"/>
          <w:szCs w:val="27"/>
        </w:rPr>
        <w:tab/>
      </w:r>
      <w:r>
        <w:rPr>
          <w:color w:val="FF0000"/>
          <w:sz w:val="27"/>
          <w:szCs w:val="27"/>
        </w:rPr>
        <w:t>+ Chế độ bồi dưỡng luyện tập và tham gia thi áp dụng theo Nghị quyết số 07/2022/NQ-HĐND, cụ thể:</w:t>
      </w:r>
    </w:p>
    <w:p w14:paraId="66D03987">
      <w:pPr>
        <w:spacing w:before="120" w:after="120"/>
        <w:jc w:val="both"/>
        <w:rPr>
          <w:i/>
          <w:sz w:val="27"/>
          <w:szCs w:val="27"/>
        </w:rPr>
      </w:pPr>
      <w:r>
        <w:rPr>
          <w:color w:val="FF0000"/>
          <w:sz w:val="27"/>
          <w:szCs w:val="27"/>
        </w:rPr>
        <w:tab/>
      </w:r>
      <w:r>
        <w:rPr>
          <w:sz w:val="27"/>
          <w:szCs w:val="27"/>
        </w:rPr>
        <w:t xml:space="preserve">Đoàn chỉ đạo, hướng dẫn: Trưởng đoàn: 330.000đ/người/ngày; phó trưởng đoàn: 320.000đ/người/ngày; thành viên: 300.000đ/người/ngày </w:t>
      </w:r>
      <w:r>
        <w:rPr>
          <w:i/>
          <w:sz w:val="27"/>
          <w:szCs w:val="27"/>
        </w:rPr>
        <w:t>( thời gian tham gia thi theo thực tế ).</w:t>
      </w:r>
    </w:p>
    <w:p w14:paraId="5D3BCE87">
      <w:pPr>
        <w:spacing w:before="120" w:after="120"/>
        <w:ind w:firstLine="720"/>
        <w:jc w:val="both"/>
        <w:rPr>
          <w:i/>
          <w:sz w:val="27"/>
          <w:szCs w:val="27"/>
        </w:rPr>
      </w:pPr>
      <w:r>
        <w:rPr>
          <w:sz w:val="27"/>
          <w:szCs w:val="27"/>
        </w:rPr>
        <w:t xml:space="preserve">Chế độ bồi dưỡng cho giáo viên, học sinh luyện tập và tham gia thi: Luyện tập: 45.000đ/người/buổi, 90.000đ/người/ngày; tham gia thi: 150.000đ/người/ngày </w:t>
      </w:r>
      <w:r>
        <w:rPr>
          <w:i/>
          <w:sz w:val="27"/>
          <w:szCs w:val="27"/>
        </w:rPr>
        <w:t>( thời gian luyện tập, tham gia thi không quá 10 ngày ).</w:t>
      </w:r>
    </w:p>
    <w:p w14:paraId="5A6EECC1">
      <w:pPr>
        <w:spacing w:before="120" w:after="120"/>
        <w:ind w:firstLine="289"/>
        <w:jc w:val="both"/>
        <w:rPr>
          <w:b/>
          <w:i/>
          <w:sz w:val="27"/>
          <w:szCs w:val="27"/>
        </w:rPr>
      </w:pPr>
      <w:r>
        <w:rPr>
          <w:b/>
          <w:i/>
          <w:sz w:val="27"/>
          <w:szCs w:val="27"/>
        </w:rPr>
        <w:tab/>
      </w:r>
      <w:r>
        <w:rPr>
          <w:b/>
          <w:i/>
          <w:sz w:val="27"/>
          <w:szCs w:val="27"/>
        </w:rPr>
        <w:t>*/ Đối với các cuộc thi Hội khỏe Phù Đổng, thể dục thể thao:</w:t>
      </w:r>
    </w:p>
    <w:p w14:paraId="6C7D8E8A">
      <w:pPr>
        <w:spacing w:before="120" w:after="120"/>
        <w:ind w:firstLine="289"/>
        <w:jc w:val="both"/>
        <w:rPr>
          <w:sz w:val="27"/>
          <w:szCs w:val="27"/>
        </w:rPr>
      </w:pPr>
      <w:r>
        <w:rPr>
          <w:b/>
          <w:i/>
          <w:sz w:val="27"/>
          <w:szCs w:val="27"/>
        </w:rPr>
        <w:tab/>
      </w:r>
      <w:r>
        <w:rPr>
          <w:b/>
          <w:i/>
          <w:sz w:val="27"/>
          <w:szCs w:val="27"/>
        </w:rPr>
        <w:t xml:space="preserve">- Các cuộc thi cấp trường: </w:t>
      </w:r>
      <w:r>
        <w:rPr>
          <w:sz w:val="27"/>
          <w:szCs w:val="27"/>
        </w:rPr>
        <w:t>Áp dụng theo Nghị quyết số 07/2022/NQ-HĐND ngày 09/12/2022 của Hội đồng nhân dân tỉnh Quảng Ninh về việc quy định nội dung, mức chi tổ chức các kỳ thi, cuộc thi, hội thi trong lĩnh vực giáo dục của Tỉnh Quảng Ninh.</w:t>
      </w:r>
    </w:p>
    <w:p w14:paraId="27D22996">
      <w:pPr>
        <w:spacing w:before="120" w:after="120"/>
        <w:ind w:firstLine="720"/>
        <w:jc w:val="both"/>
        <w:rPr>
          <w:i/>
          <w:sz w:val="27"/>
          <w:szCs w:val="27"/>
        </w:rPr>
      </w:pPr>
      <w:r>
        <w:rPr>
          <w:i/>
          <w:sz w:val="27"/>
          <w:szCs w:val="27"/>
        </w:rPr>
        <w:t>Nội dung và mức chi cụ thể như sau:</w:t>
      </w:r>
    </w:p>
    <w:p w14:paraId="4492373C">
      <w:pPr>
        <w:spacing w:before="120" w:after="120"/>
        <w:ind w:firstLine="720"/>
        <w:jc w:val="both"/>
        <w:rPr>
          <w:sz w:val="27"/>
          <w:szCs w:val="27"/>
        </w:rPr>
      </w:pPr>
      <w:r>
        <w:rPr>
          <w:b/>
          <w:sz w:val="27"/>
          <w:szCs w:val="27"/>
        </w:rPr>
        <w:t xml:space="preserve">+ </w:t>
      </w:r>
      <w:r>
        <w:rPr>
          <w:sz w:val="27"/>
          <w:szCs w:val="27"/>
        </w:rPr>
        <w:t xml:space="preserve">Nước uống: </w:t>
      </w:r>
      <w:r>
        <w:rPr>
          <w:color w:val="000000"/>
          <w:sz w:val="27"/>
          <w:szCs w:val="27"/>
        </w:rPr>
        <w:t>20.000đồng/người/buổi (nửa ngày), 30.000đồng/người/ngày.</w:t>
      </w:r>
    </w:p>
    <w:p w14:paraId="385DC72C">
      <w:pPr>
        <w:spacing w:before="120" w:after="120"/>
        <w:ind w:firstLine="720"/>
        <w:jc w:val="both"/>
        <w:rPr>
          <w:sz w:val="27"/>
          <w:szCs w:val="27"/>
        </w:rPr>
      </w:pPr>
      <w:r>
        <w:rPr>
          <w:sz w:val="27"/>
          <w:szCs w:val="27"/>
        </w:rPr>
        <w:t>+ Mua hàng hóa và các chi phí khác phát sinh tuỳ theo tính chất, nội dụng của các cuộc thi chi theo thực tế.</w:t>
      </w:r>
    </w:p>
    <w:p w14:paraId="00AEBCAD">
      <w:pPr>
        <w:spacing w:before="120" w:after="120"/>
        <w:ind w:firstLine="720"/>
        <w:jc w:val="both"/>
        <w:rPr>
          <w:color w:val="FF0000"/>
          <w:sz w:val="27"/>
          <w:szCs w:val="27"/>
        </w:rPr>
      </w:pPr>
      <w:r>
        <w:rPr>
          <w:color w:val="FF0000"/>
          <w:sz w:val="27"/>
          <w:szCs w:val="27"/>
        </w:rPr>
        <w:t xml:space="preserve">+ Chế độ bồi dưỡng cho Ban tổ chức áp dụng bằng 40% mức chi tiền công của cấp Tỉnh theo Nghị quyết số 07/2022/NQ-HĐND, cụ thể: </w:t>
      </w:r>
    </w:p>
    <w:p w14:paraId="4A88FC95">
      <w:pPr>
        <w:spacing w:before="120" w:after="120"/>
        <w:ind w:firstLine="720"/>
        <w:jc w:val="both"/>
        <w:rPr>
          <w:sz w:val="27"/>
          <w:szCs w:val="27"/>
        </w:rPr>
      </w:pPr>
      <w:r>
        <w:rPr>
          <w:sz w:val="27"/>
          <w:szCs w:val="27"/>
        </w:rPr>
        <w:t>Ban tổ chức: Trưởng ban: 176.000đ/người/ngày; phó trưởng ban: 160.000đ/người/ngày; thành viên: 144.000đ/người/ngày; y tế, phục vụ, bảo vệ: 80.000đ/người/ngày; trọng tài chính: 124.000đ/người/ngày; trọng tài khác: 100.000đ/người/ngày.</w:t>
      </w:r>
    </w:p>
    <w:p w14:paraId="044EC1C4">
      <w:pPr>
        <w:spacing w:before="120" w:after="120"/>
        <w:ind w:firstLine="720"/>
        <w:jc w:val="both"/>
        <w:rPr>
          <w:sz w:val="27"/>
          <w:szCs w:val="27"/>
        </w:rPr>
      </w:pPr>
      <w:r>
        <w:rPr>
          <w:b/>
          <w:i/>
          <w:sz w:val="27"/>
          <w:szCs w:val="27"/>
        </w:rPr>
        <w:t>Đối với màn đồng diễn, diễu hành, xếp hình, xếp chữ, chương trình nghệ thuật:</w:t>
      </w:r>
      <w:r>
        <w:rPr>
          <w:sz w:val="27"/>
          <w:szCs w:val="27"/>
        </w:rPr>
        <w:t xml:space="preserve"> </w:t>
      </w:r>
      <w:r>
        <w:rPr>
          <w:color w:val="FF0000"/>
          <w:sz w:val="27"/>
          <w:szCs w:val="27"/>
        </w:rPr>
        <w:t>Chế độ bồi dưỡng cho giáo viên quản lý, hướng dẫn và học sinh tham gia áp dụng bằng 60% mức chi của cấp Tỉnh theo  Nghị quyết số 07/2022/NQ-HĐND, cụ thể như sau:</w:t>
      </w:r>
      <w:r>
        <w:rPr>
          <w:sz w:val="27"/>
          <w:szCs w:val="27"/>
        </w:rPr>
        <w:t xml:space="preserve"> </w:t>
      </w:r>
    </w:p>
    <w:p w14:paraId="5C6C2EC7">
      <w:pPr>
        <w:spacing w:before="120" w:after="120"/>
        <w:ind w:firstLine="720"/>
        <w:jc w:val="both"/>
        <w:rPr>
          <w:i/>
          <w:sz w:val="27"/>
          <w:szCs w:val="27"/>
        </w:rPr>
      </w:pPr>
      <w:r>
        <w:rPr>
          <w:sz w:val="27"/>
          <w:szCs w:val="27"/>
        </w:rPr>
        <w:t xml:space="preserve">+ Giáo viên quản lý, hướng dẫn: 60.000đ/người/buổi, 120.000đ/người/ngày </w:t>
      </w:r>
      <w:r>
        <w:rPr>
          <w:i/>
          <w:sz w:val="27"/>
          <w:szCs w:val="27"/>
        </w:rPr>
        <w:t>( thời gian không quá 10 ngày ).</w:t>
      </w:r>
    </w:p>
    <w:p w14:paraId="3D4B796F">
      <w:pPr>
        <w:spacing w:before="120" w:after="120"/>
        <w:ind w:firstLine="720"/>
        <w:jc w:val="both"/>
        <w:rPr>
          <w:i/>
          <w:sz w:val="27"/>
          <w:szCs w:val="27"/>
        </w:rPr>
      </w:pPr>
      <w:r>
        <w:rPr>
          <w:sz w:val="27"/>
          <w:szCs w:val="27"/>
        </w:rPr>
        <w:t xml:space="preserve">+ Học sinh tham gia: Luyện tập, tổng duyệt: 18.000đ/người/buổi, 36.000đ/người/ngày; tham gia chính thức: 24.000đ/người/buổi, 48.000đ/người/ngày </w:t>
      </w:r>
      <w:r>
        <w:rPr>
          <w:i/>
          <w:sz w:val="27"/>
          <w:szCs w:val="27"/>
        </w:rPr>
        <w:t>( thời gian luyện tập, tổng duyệt, tham gia chính thức không quá 10 ngày ).</w:t>
      </w:r>
    </w:p>
    <w:p w14:paraId="137E7BCE">
      <w:pPr>
        <w:spacing w:before="120" w:after="120"/>
        <w:ind w:firstLine="720"/>
        <w:jc w:val="both"/>
        <w:rPr>
          <w:sz w:val="27"/>
          <w:szCs w:val="27"/>
        </w:rPr>
      </w:pPr>
      <w:r>
        <w:rPr>
          <w:b/>
          <w:sz w:val="27"/>
          <w:szCs w:val="27"/>
        </w:rPr>
        <w:t>K</w:t>
      </w:r>
      <w:r>
        <w:rPr>
          <w:sz w:val="27"/>
          <w:szCs w:val="27"/>
        </w:rPr>
        <w:t>hen thưởng: Theo các nội dung của cuộc thi:</w:t>
      </w:r>
    </w:p>
    <w:p w14:paraId="76605790">
      <w:pPr>
        <w:spacing w:before="120" w:after="120"/>
        <w:ind w:firstLine="720"/>
        <w:jc w:val="both"/>
        <w:rPr>
          <w:sz w:val="27"/>
          <w:szCs w:val="27"/>
        </w:rPr>
      </w:pPr>
      <w:r>
        <w:rPr>
          <w:sz w:val="27"/>
          <w:szCs w:val="27"/>
        </w:rPr>
        <w:t>+ Khen thưởng tập thể: Giải nhất: không quá  500.000đ/giải, giải nhì: không quá 400.000đ/giải, giải ba: không quá 300.000đ/giải, giải khuyến khích: không quá 200.000đ/giải;</w:t>
      </w:r>
    </w:p>
    <w:p w14:paraId="690C2553">
      <w:pPr>
        <w:spacing w:before="120" w:after="120"/>
        <w:ind w:firstLine="720"/>
        <w:jc w:val="both"/>
        <w:rPr>
          <w:sz w:val="27"/>
          <w:szCs w:val="27"/>
        </w:rPr>
      </w:pPr>
      <w:r>
        <w:rPr>
          <w:sz w:val="27"/>
          <w:szCs w:val="27"/>
        </w:rPr>
        <w:t>+ Khen thưởng cá nhân: Giải nhất: không quá  300.000đ/giải, giải nhì: không quá 250.000đ/giải, giải ba: không quá 150.000đ/giải, giải khuyến khích: không quá 100.000đ/giải.</w:t>
      </w:r>
    </w:p>
    <w:p w14:paraId="1200BE4B">
      <w:pPr>
        <w:spacing w:before="120" w:after="120"/>
        <w:ind w:firstLine="289"/>
        <w:jc w:val="both"/>
        <w:rPr>
          <w:sz w:val="27"/>
          <w:szCs w:val="27"/>
        </w:rPr>
      </w:pPr>
      <w:r>
        <w:rPr>
          <w:b/>
          <w:i/>
          <w:sz w:val="27"/>
          <w:szCs w:val="27"/>
        </w:rPr>
        <w:tab/>
      </w:r>
      <w:r>
        <w:rPr>
          <w:b/>
          <w:i/>
          <w:sz w:val="27"/>
          <w:szCs w:val="27"/>
        </w:rPr>
        <w:t xml:space="preserve">- Các cuộc thi cấp huyện: </w:t>
      </w:r>
      <w:r>
        <w:rPr>
          <w:sz w:val="27"/>
          <w:szCs w:val="27"/>
        </w:rPr>
        <w:t>Áp dụng theo Nghị quyết số 07/2022/NQ-HĐND ngày 09/12/2022 của Hội đồng nhân dân tỉnh Quảng Ninh về việc quy định nội dung, mức chi tổ chức các kỳ thi, cuộc thi, hội thi trong lĩnh vực giáo dục của Tỉnh Quảng Ninh.</w:t>
      </w:r>
    </w:p>
    <w:p w14:paraId="4190EE41">
      <w:pPr>
        <w:spacing w:before="120" w:after="120"/>
        <w:ind w:firstLine="720"/>
        <w:jc w:val="both"/>
        <w:rPr>
          <w:sz w:val="27"/>
          <w:szCs w:val="27"/>
        </w:rPr>
      </w:pPr>
      <w:r>
        <w:rPr>
          <w:sz w:val="27"/>
          <w:szCs w:val="27"/>
        </w:rPr>
        <w:t>Nội dung và mức chi cụ thể như sau:</w:t>
      </w:r>
    </w:p>
    <w:p w14:paraId="7011177D">
      <w:pPr>
        <w:spacing w:before="120" w:after="120"/>
        <w:ind w:firstLine="720"/>
        <w:jc w:val="both"/>
        <w:rPr>
          <w:sz w:val="27"/>
          <w:szCs w:val="27"/>
        </w:rPr>
      </w:pPr>
      <w:r>
        <w:rPr>
          <w:b/>
          <w:sz w:val="27"/>
          <w:szCs w:val="27"/>
        </w:rPr>
        <w:t xml:space="preserve">+ </w:t>
      </w:r>
      <w:r>
        <w:rPr>
          <w:sz w:val="27"/>
          <w:szCs w:val="27"/>
        </w:rPr>
        <w:t xml:space="preserve">Nước uống: </w:t>
      </w:r>
      <w:r>
        <w:rPr>
          <w:color w:val="000000"/>
          <w:sz w:val="27"/>
          <w:szCs w:val="27"/>
        </w:rPr>
        <w:t>20.000đồng/người/buổi (nửa ngày), 30.000đồng/người/ngày.</w:t>
      </w:r>
    </w:p>
    <w:p w14:paraId="5ABF1B7B">
      <w:pPr>
        <w:spacing w:before="120" w:after="120"/>
        <w:ind w:firstLine="720"/>
        <w:jc w:val="both"/>
        <w:rPr>
          <w:sz w:val="27"/>
          <w:szCs w:val="27"/>
        </w:rPr>
      </w:pPr>
      <w:r>
        <w:rPr>
          <w:sz w:val="27"/>
          <w:szCs w:val="27"/>
        </w:rPr>
        <w:t>+ Mua hàng hóa và các chi phí khác phát sinh tuỳ theo tính chất, nội dụng của các cuộc thi chi theo thực tế.</w:t>
      </w:r>
    </w:p>
    <w:p w14:paraId="708E2E4C">
      <w:pPr>
        <w:spacing w:before="120" w:after="120"/>
        <w:ind w:firstLine="720"/>
        <w:jc w:val="both"/>
        <w:rPr>
          <w:color w:val="FF0000"/>
          <w:sz w:val="27"/>
          <w:szCs w:val="27"/>
        </w:rPr>
      </w:pPr>
      <w:r>
        <w:rPr>
          <w:color w:val="FF0000"/>
          <w:sz w:val="27"/>
          <w:szCs w:val="27"/>
        </w:rPr>
        <w:t>+ Chế độ bồi dưỡng luyện tập và tham gia thi áp dụng theo Nghị quyết số 07/2022/NQ-HĐND, cụ thể:</w:t>
      </w:r>
    </w:p>
    <w:p w14:paraId="19931A0A">
      <w:pPr>
        <w:spacing w:before="120" w:after="120"/>
        <w:ind w:firstLine="720"/>
        <w:jc w:val="both"/>
        <w:rPr>
          <w:i/>
          <w:sz w:val="27"/>
          <w:szCs w:val="27"/>
        </w:rPr>
      </w:pPr>
      <w:r>
        <w:rPr>
          <w:sz w:val="27"/>
          <w:szCs w:val="27"/>
        </w:rPr>
        <w:t xml:space="preserve">Đoàn chỉ đạo, hướng dẫn: Trưởng đoàn: 330.000đ/người/ngày; phó trưởng đoàn: 320.000đ/người/ngày; thành viên: 300.000đ/người/ngày </w:t>
      </w:r>
      <w:r>
        <w:rPr>
          <w:i/>
          <w:sz w:val="27"/>
          <w:szCs w:val="27"/>
        </w:rPr>
        <w:t>( thời gian tham gia thi theo thực tế ).</w:t>
      </w:r>
    </w:p>
    <w:p w14:paraId="3B5AB1FF">
      <w:pPr>
        <w:spacing w:before="120" w:after="120"/>
        <w:jc w:val="both"/>
        <w:rPr>
          <w:sz w:val="27"/>
          <w:szCs w:val="27"/>
        </w:rPr>
      </w:pPr>
      <w:r>
        <w:rPr>
          <w:sz w:val="27"/>
          <w:szCs w:val="27"/>
        </w:rPr>
        <w:tab/>
      </w:r>
      <w:r>
        <w:rPr>
          <w:sz w:val="27"/>
          <w:szCs w:val="27"/>
        </w:rPr>
        <w:t xml:space="preserve">Chế độ bồi dưỡng cho giáo viên, học sinh luyện tập và tham gia thi: Luyện tập: 45.000đ/người/buổi, 90.000đ/người/ngày; tham gia thi: 150.000đ/người/ngày </w:t>
      </w:r>
      <w:r>
        <w:rPr>
          <w:i/>
          <w:sz w:val="27"/>
          <w:szCs w:val="27"/>
        </w:rPr>
        <w:t>( thời gian luyện tập, tham gia thi không quá 10 ngày ).</w:t>
      </w:r>
    </w:p>
    <w:p w14:paraId="216B5E9A">
      <w:pPr>
        <w:spacing w:before="120" w:after="120"/>
        <w:ind w:firstLine="720"/>
        <w:jc w:val="both"/>
        <w:rPr>
          <w:b/>
          <w:bCs/>
          <w:i/>
          <w:iCs/>
          <w:lang w:val="nl-NL"/>
        </w:rPr>
      </w:pPr>
      <w:r>
        <w:rPr>
          <w:b/>
          <w:bCs/>
          <w:lang w:val="nl-NL"/>
        </w:rPr>
        <w:t xml:space="preserve">b. </w:t>
      </w:r>
      <w:r>
        <w:rPr>
          <w:b/>
          <w:bCs/>
          <w:i/>
          <w:iCs/>
          <w:lang w:val="nl-NL"/>
        </w:rPr>
        <w:t xml:space="preserve">Hoạt động ngoại khoá: </w:t>
      </w:r>
    </w:p>
    <w:p w14:paraId="2F19010E">
      <w:pPr>
        <w:spacing w:before="120" w:after="120"/>
        <w:ind w:firstLine="289"/>
        <w:jc w:val="both"/>
        <w:rPr>
          <w:lang w:val="nl-NL"/>
        </w:rPr>
      </w:pPr>
      <w:r>
        <w:rPr>
          <w:b/>
          <w:bCs/>
          <w:i/>
          <w:iCs/>
          <w:lang w:val="nl-NL"/>
        </w:rPr>
        <w:tab/>
      </w:r>
      <w:r>
        <w:rPr>
          <w:b/>
          <w:bCs/>
          <w:i/>
          <w:iCs/>
          <w:lang w:val="nl-NL"/>
        </w:rPr>
        <w:t xml:space="preserve">- </w:t>
      </w:r>
      <w:r>
        <w:rPr>
          <w:lang w:val="nl-NL"/>
        </w:rPr>
        <w:t>Trang trí khánh tiết: Không quá 300.000đ/lần tổ chức (đối với các ngoại khoá điểm chi theo thực tế);</w:t>
      </w:r>
    </w:p>
    <w:p w14:paraId="6D4A3805">
      <w:pPr>
        <w:spacing w:before="120" w:after="120"/>
        <w:ind w:firstLine="720"/>
        <w:jc w:val="both"/>
        <w:rPr>
          <w:b/>
          <w:i/>
          <w:lang w:val="nl-NL"/>
        </w:rPr>
      </w:pPr>
      <w:r>
        <w:rPr>
          <w:lang w:val="nl-NL"/>
        </w:rPr>
        <w:t>- Các chi phí khác: Văn phòng phẩm, phần thưởng, chè nước, thuê trang phục, thuê hội trường, các hàng hóa khác... chi theo thực tế được Hiệu trưởng phê duyệt.</w:t>
      </w:r>
    </w:p>
    <w:p w14:paraId="53541206">
      <w:pPr>
        <w:spacing w:before="120" w:after="120"/>
        <w:ind w:firstLine="289"/>
        <w:rPr>
          <w:b/>
          <w:i/>
          <w:lang w:val="nl-NL"/>
        </w:rPr>
      </w:pPr>
      <w:r>
        <w:rPr>
          <w:b/>
          <w:i/>
          <w:lang w:val="nl-NL"/>
        </w:rPr>
        <w:tab/>
      </w:r>
      <w:r>
        <w:rPr>
          <w:b/>
          <w:bCs/>
          <w:i/>
          <w:iCs/>
          <w:lang w:val="nl-NL"/>
        </w:rPr>
        <w:t xml:space="preserve">c. Các hoạt động chuyên môn, chuyên đề: </w:t>
      </w:r>
    </w:p>
    <w:p w14:paraId="5B4453E8">
      <w:pPr>
        <w:spacing w:before="120" w:after="120"/>
        <w:ind w:firstLine="289"/>
        <w:rPr>
          <w:lang w:val="nl-NL"/>
        </w:rPr>
      </w:pPr>
      <w:r>
        <w:rPr>
          <w:b/>
          <w:i/>
          <w:lang w:val="nl-NL"/>
        </w:rPr>
        <w:tab/>
      </w:r>
      <w:r>
        <w:rPr>
          <w:b/>
          <w:bCs/>
          <w:lang w:val="nl-NL"/>
        </w:rPr>
        <w:t>-</w:t>
      </w:r>
      <w:r>
        <w:rPr>
          <w:lang w:val="nl-NL"/>
        </w:rPr>
        <w:t xml:space="preserve"> Chuyên đề cấp tổ, mức chi không quá: 800.000đ/chuyên đề;</w:t>
      </w:r>
    </w:p>
    <w:p w14:paraId="6753E26A">
      <w:pPr>
        <w:spacing w:before="120" w:after="120"/>
        <w:ind w:firstLine="289"/>
        <w:rPr>
          <w:b/>
          <w:i/>
          <w:lang w:val="nl-NL"/>
        </w:rPr>
      </w:pPr>
      <w:r>
        <w:rPr>
          <w:lang w:val="nl-NL"/>
        </w:rPr>
        <w:tab/>
      </w:r>
      <w:r>
        <w:rPr>
          <w:lang w:val="nl-NL"/>
        </w:rPr>
        <w:t>- Chuyên đề cấp trường, cấp cụm trường: Chi theo thực tế được Hiệu trưởng phê duyệt. Gồm các nội dung:</w:t>
      </w:r>
    </w:p>
    <w:p w14:paraId="1821F55F">
      <w:pPr>
        <w:spacing w:before="120" w:after="120"/>
        <w:ind w:firstLine="289"/>
        <w:rPr>
          <w:b/>
          <w:i/>
          <w:lang w:val="nl-NL"/>
        </w:rPr>
      </w:pPr>
      <w:r>
        <w:rPr>
          <w:b/>
          <w:i/>
          <w:lang w:val="nl-NL"/>
        </w:rPr>
        <w:tab/>
      </w:r>
      <w:r>
        <w:rPr>
          <w:lang w:val="nl-NL"/>
        </w:rPr>
        <w:t>+ Trang trí khánh tiết không quá: 300.000đ/chuyên đề;</w:t>
      </w:r>
    </w:p>
    <w:p w14:paraId="69CEF076">
      <w:pPr>
        <w:spacing w:before="120" w:after="120"/>
        <w:ind w:firstLine="289"/>
        <w:rPr>
          <w:b/>
          <w:i/>
          <w:lang w:val="nl-NL"/>
        </w:rPr>
      </w:pPr>
      <w:r>
        <w:rPr>
          <w:b/>
          <w:i/>
          <w:lang w:val="nl-NL"/>
        </w:rPr>
        <w:tab/>
      </w:r>
      <w:r>
        <w:rPr>
          <w:lang w:val="nl-NL"/>
        </w:rPr>
        <w:t>+ Chi văn phòng phẩm, hàng hóa khác: Theo thực tế;</w:t>
      </w:r>
    </w:p>
    <w:p w14:paraId="42EBCC7D">
      <w:pPr>
        <w:spacing w:before="120" w:after="120"/>
        <w:ind w:firstLine="289"/>
        <w:rPr>
          <w:lang w:val="nl-NL"/>
        </w:rPr>
      </w:pPr>
      <w:r>
        <w:rPr>
          <w:b/>
          <w:i/>
          <w:lang w:val="nl-NL"/>
        </w:rPr>
        <w:tab/>
      </w:r>
      <w:r>
        <w:rPr>
          <w:b/>
          <w:i/>
          <w:lang w:val="nl-NL"/>
        </w:rPr>
        <w:t xml:space="preserve">+ </w:t>
      </w:r>
      <w:r>
        <w:rPr>
          <w:lang w:val="nl-NL"/>
        </w:rPr>
        <w:t>Chè nước không quá: 20.000đ/người/ngày.</w:t>
      </w:r>
    </w:p>
    <w:p w14:paraId="6B10A748">
      <w:pPr>
        <w:spacing w:before="120" w:after="120"/>
        <w:jc w:val="both"/>
        <w:rPr>
          <w:b/>
          <w:i/>
          <w:lang w:val="nl-NL"/>
        </w:rPr>
      </w:pPr>
      <w:r>
        <w:rPr>
          <w:lang w:val="nl-NL"/>
        </w:rPr>
        <w:tab/>
      </w:r>
      <w:r>
        <w:rPr>
          <w:b/>
          <w:i/>
          <w:lang w:val="nl-NL"/>
        </w:rPr>
        <w:t xml:space="preserve">d. Hoạt động chấm sáng kiến kinh nghiệm, xét hoàn thành chương trình Tiểu học, tuyển sinh, thi học kì...: </w:t>
      </w:r>
    </w:p>
    <w:p w14:paraId="78EE671E">
      <w:pPr>
        <w:spacing w:before="120" w:after="120"/>
        <w:ind w:firstLine="289"/>
        <w:rPr>
          <w:lang w:val="nl-NL"/>
        </w:rPr>
      </w:pPr>
      <w:r>
        <w:rPr>
          <w:b/>
          <w:i/>
          <w:lang w:val="nl-NL"/>
        </w:rPr>
        <w:tab/>
      </w:r>
      <w:r>
        <w:rPr>
          <w:b/>
          <w:i/>
          <w:lang w:val="nl-NL"/>
        </w:rPr>
        <w:t xml:space="preserve">+ </w:t>
      </w:r>
      <w:r>
        <w:rPr>
          <w:lang w:val="nl-NL"/>
        </w:rPr>
        <w:t>Chè nước không quá: 20.000đ/người/ngày;</w:t>
      </w:r>
    </w:p>
    <w:p w14:paraId="6CF6F4BD">
      <w:pPr>
        <w:spacing w:before="120" w:after="120"/>
        <w:ind w:left="720"/>
        <w:jc w:val="both"/>
        <w:rPr>
          <w:lang w:val="nl-NL"/>
        </w:rPr>
      </w:pPr>
      <w:r>
        <w:rPr>
          <w:lang w:val="nl-NL"/>
        </w:rPr>
        <w:t>+ Văn phòng phẩm, hàng hóa khác: Theo thực tế trên cơ sở tiết kiệm.</w:t>
      </w:r>
    </w:p>
    <w:p w14:paraId="5917E6D4">
      <w:pPr>
        <w:spacing w:before="120" w:after="120"/>
        <w:ind w:firstLine="289"/>
        <w:jc w:val="both"/>
        <w:rPr>
          <w:b/>
          <w:i/>
          <w:lang w:val="nl-NL"/>
        </w:rPr>
      </w:pPr>
      <w:r>
        <w:rPr>
          <w:lang w:val="nl-NL"/>
        </w:rPr>
        <w:tab/>
      </w:r>
      <w:r>
        <w:rPr>
          <w:b/>
          <w:i/>
          <w:lang w:val="nl-NL"/>
        </w:rPr>
        <w:t>đ. Chi tổ chức tập huấn chuyên môn cấp trường:</w:t>
      </w:r>
    </w:p>
    <w:p w14:paraId="04FF29B6">
      <w:pPr>
        <w:spacing w:before="120" w:after="120"/>
        <w:jc w:val="both"/>
        <w:rPr>
          <w:lang w:val="nl-NL"/>
        </w:rPr>
      </w:pPr>
      <w:r>
        <w:rPr>
          <w:b/>
          <w:bCs/>
          <w:lang w:val="nl-NL"/>
        </w:rPr>
        <w:tab/>
      </w:r>
      <w:r>
        <w:rPr>
          <w:b/>
          <w:bCs/>
          <w:lang w:val="nl-NL"/>
        </w:rPr>
        <w:t xml:space="preserve">- </w:t>
      </w:r>
      <w:r>
        <w:rPr>
          <w:lang w:val="nl-NL"/>
        </w:rPr>
        <w:t>Trang trí khánh tiết: Không quá 300.000</w:t>
      </w:r>
      <w:r>
        <w:rPr>
          <w:rFonts w:hint="eastAsia"/>
          <w:lang w:val="nl-NL"/>
        </w:rPr>
        <w:t>đ</w:t>
      </w:r>
      <w:r>
        <w:rPr>
          <w:lang w:val="nl-NL"/>
        </w:rPr>
        <w:t>/lần;</w:t>
      </w:r>
    </w:p>
    <w:p w14:paraId="4BEFE4A9">
      <w:pPr>
        <w:spacing w:before="120" w:after="120"/>
        <w:ind w:firstLine="567"/>
        <w:jc w:val="both"/>
        <w:rPr>
          <w:color w:val="000000"/>
          <w:sz w:val="27"/>
          <w:szCs w:val="27"/>
        </w:rPr>
      </w:pPr>
      <w:r>
        <w:rPr>
          <w:lang w:val="nl-NL"/>
        </w:rPr>
        <w:t xml:space="preserve">  </w:t>
      </w:r>
      <w:r>
        <w:rPr>
          <w:color w:val="000000"/>
          <w:sz w:val="27"/>
          <w:szCs w:val="27"/>
        </w:rPr>
        <w:t xml:space="preserve">- Bồi dưỡng báo cáo viên </w:t>
      </w:r>
      <w:r>
        <w:rPr>
          <w:color w:val="FF0000"/>
          <w:sz w:val="27"/>
          <w:szCs w:val="27"/>
        </w:rPr>
        <w:t>vận dụng theo Nghị quyết số 138/2018/NQ-HĐND ngày 07/12/2018 của Hội đồng nhân dân tính Quảng Ninh về việc quy định mức chi bồi dưỡng cán bộ, công chức, viên chức trong nước trên địa bàn tỉnh Quảng Ninh</w:t>
      </w:r>
      <w:r>
        <w:rPr>
          <w:color w:val="000000"/>
          <w:sz w:val="27"/>
          <w:szCs w:val="27"/>
        </w:rPr>
        <w:t xml:space="preserve">. Mức chi: 100.000đ/người/buổi; 200.000đ/người/ngày; </w:t>
      </w:r>
    </w:p>
    <w:p w14:paraId="4D24146A">
      <w:pPr>
        <w:spacing w:before="120" w:after="120"/>
        <w:jc w:val="both"/>
        <w:rPr>
          <w:sz w:val="27"/>
          <w:szCs w:val="27"/>
        </w:rPr>
      </w:pPr>
      <w:r>
        <w:rPr>
          <w:b/>
          <w:sz w:val="27"/>
          <w:szCs w:val="27"/>
        </w:rPr>
        <w:tab/>
      </w:r>
      <w:r>
        <w:rPr>
          <w:b/>
          <w:sz w:val="27"/>
          <w:szCs w:val="27"/>
        </w:rPr>
        <w:t xml:space="preserve">- </w:t>
      </w:r>
      <w:r>
        <w:rPr>
          <w:sz w:val="27"/>
          <w:szCs w:val="27"/>
        </w:rPr>
        <w:t>Nước uống: Thanh toán theo thực tế, không quá 20.000đ/người/buổi, 30.000đ/người/ngày;</w:t>
      </w:r>
    </w:p>
    <w:p w14:paraId="7C300B5C">
      <w:pPr>
        <w:spacing w:before="120" w:after="120"/>
        <w:jc w:val="both"/>
        <w:rPr>
          <w:sz w:val="27"/>
          <w:szCs w:val="27"/>
        </w:rPr>
      </w:pPr>
      <w:r>
        <w:rPr>
          <w:sz w:val="27"/>
          <w:szCs w:val="27"/>
        </w:rPr>
        <w:tab/>
      </w:r>
      <w:r>
        <w:rPr>
          <w:sz w:val="27"/>
          <w:szCs w:val="27"/>
        </w:rPr>
        <w:t>- Văn phòng phẩm, hàng hoá khác: Theo thực tế trên cơ sở tiết kiệm.</w:t>
      </w:r>
    </w:p>
    <w:p w14:paraId="5A30B4FE">
      <w:pPr>
        <w:spacing w:before="120" w:after="120"/>
        <w:ind w:firstLine="720"/>
        <w:jc w:val="both"/>
        <w:rPr>
          <w:b/>
          <w:i/>
          <w:lang w:val="nl-NL"/>
        </w:rPr>
      </w:pPr>
      <w:r>
        <w:rPr>
          <w:b/>
          <w:i/>
          <w:lang w:val="nl-NL"/>
        </w:rPr>
        <w:t>g. Chi cho viết tin bài đăng Cổng thông tin điện tử:</w:t>
      </w:r>
    </w:p>
    <w:p w14:paraId="199C55C2">
      <w:pPr>
        <w:spacing w:before="120" w:after="120"/>
        <w:ind w:firstLine="720"/>
        <w:jc w:val="both"/>
      </w:pPr>
      <w:r>
        <w:t xml:space="preserve">- Chi viết tin bài và đăng tin bài trên cổng thông tin điện tử: 50.000đ/tin </w:t>
      </w:r>
    </w:p>
    <w:p w14:paraId="1D92B305">
      <w:pPr>
        <w:spacing w:before="120" w:after="120"/>
        <w:ind w:firstLine="720"/>
        <w:jc w:val="both"/>
      </w:pPr>
      <w:r>
        <w:t xml:space="preserve">bài.    </w:t>
      </w:r>
    </w:p>
    <w:p w14:paraId="1FEA7B7E">
      <w:pPr>
        <w:spacing w:before="120" w:after="120"/>
        <w:ind w:firstLine="720"/>
        <w:jc w:val="both"/>
        <w:rPr>
          <w:b/>
          <w:i/>
        </w:rPr>
      </w:pPr>
      <w:r>
        <w:rPr>
          <w:b/>
          <w:i/>
        </w:rPr>
        <w:t>h. Chi công tác bồi dưỡng thường xuyên cho cán bộ quản lý và giáo viên:</w:t>
      </w:r>
    </w:p>
    <w:p w14:paraId="01905EDA">
      <w:pPr>
        <w:spacing w:before="120" w:after="120"/>
        <w:ind w:firstLine="720"/>
        <w:jc w:val="both"/>
      </w:pPr>
      <w:r>
        <w:t>- Chi theo chương trình bồi dưỡng nhiệm vụ thực tế phục vụ công tác chuyên môn.</w:t>
      </w:r>
    </w:p>
    <w:p w14:paraId="1A938F04">
      <w:pPr>
        <w:spacing w:after="120"/>
        <w:ind w:firstLine="720"/>
        <w:rPr>
          <w:b/>
          <w:lang w:val="nl-NL"/>
        </w:rPr>
      </w:pPr>
      <w:r>
        <w:rPr>
          <w:b/>
          <w:lang w:val="nl-NL"/>
        </w:rPr>
        <w:t xml:space="preserve">3. Chi trang phục, bảo hộ lao động cho nhân viên </w:t>
      </w:r>
      <w:r>
        <w:rPr>
          <w:rFonts w:hint="default"/>
          <w:b/>
          <w:lang w:val="vi-VN"/>
        </w:rPr>
        <w:t>Lao công</w:t>
      </w:r>
      <w:r>
        <w:rPr>
          <w:b/>
          <w:lang w:val="nl-NL"/>
        </w:rPr>
        <w:t xml:space="preserve">, </w:t>
      </w:r>
      <w:r>
        <w:rPr>
          <w:rFonts w:hint="default"/>
          <w:b/>
          <w:lang w:val="vi-VN"/>
        </w:rPr>
        <w:t>B</w:t>
      </w:r>
      <w:r>
        <w:rPr>
          <w:b/>
          <w:lang w:val="nl-NL"/>
        </w:rPr>
        <w:t>ảo vệ.</w:t>
      </w:r>
    </w:p>
    <w:p w14:paraId="29E23A50">
      <w:pPr>
        <w:spacing w:after="120"/>
        <w:jc w:val="both"/>
        <w:rPr>
          <w:lang w:val="nl-NL"/>
        </w:rPr>
      </w:pPr>
      <w:r>
        <w:rPr>
          <w:lang w:val="nl-NL"/>
        </w:rPr>
        <w:tab/>
      </w:r>
      <w:r>
        <w:rPr>
          <w:lang w:val="nl-NL"/>
        </w:rPr>
        <w:t xml:space="preserve">- Trang phục, bảo hộ cho nhân viên </w:t>
      </w:r>
      <w:r>
        <w:rPr>
          <w:rFonts w:hint="default"/>
          <w:lang w:val="vi-VN"/>
        </w:rPr>
        <w:t>lao công</w:t>
      </w:r>
      <w:r>
        <w:rPr>
          <w:lang w:val="nl-NL"/>
        </w:rPr>
        <w:t>, bảo vệ: 02 bộ/năm</w:t>
      </w:r>
    </w:p>
    <w:p w14:paraId="66E3D455">
      <w:pPr>
        <w:spacing w:after="120"/>
        <w:jc w:val="both"/>
        <w:rPr>
          <w:lang w:val="nl-NL"/>
        </w:rPr>
      </w:pPr>
      <w:r>
        <w:rPr>
          <w:lang w:val="nl-NL"/>
        </w:rPr>
        <w:tab/>
      </w:r>
      <w:r>
        <w:rPr>
          <w:lang w:val="nl-NL"/>
        </w:rPr>
        <w:t>- Dụng cụ, phương tiện làm việc khác cho nhiệm vụ bảo vệ chi theo thực tế phát sinh trên cơ sở tiết kiệm.</w:t>
      </w:r>
    </w:p>
    <w:p w14:paraId="67A4D084">
      <w:pPr>
        <w:spacing w:before="120" w:after="120"/>
        <w:ind w:firstLine="567"/>
        <w:jc w:val="both"/>
        <w:rPr>
          <w:b/>
          <w:bCs/>
        </w:rPr>
      </w:pPr>
      <w:r>
        <w:rPr>
          <w:b/>
          <w:bCs/>
        </w:rPr>
        <w:t>Điều 14. Chi mua sắm, sửa chữa tài sản</w:t>
      </w:r>
    </w:p>
    <w:p w14:paraId="38E0408E">
      <w:pPr>
        <w:spacing w:after="120"/>
        <w:ind w:firstLine="567"/>
        <w:jc w:val="both"/>
        <w:rPr>
          <w:b/>
          <w:bCs/>
        </w:rPr>
      </w:pPr>
      <w:r>
        <w:rPr>
          <w:b/>
          <w:bCs/>
        </w:rPr>
        <w:t>1. Mua sắm tài sản</w:t>
      </w:r>
    </w:p>
    <w:p w14:paraId="0E1950F2">
      <w:pPr>
        <w:spacing w:after="120"/>
        <w:jc w:val="both"/>
      </w:pPr>
      <w:r>
        <w:tab/>
      </w:r>
      <w:r>
        <w:t>- Mua sắm tài sản theo trình tự thủ tục, quy định hiện hành.</w:t>
      </w:r>
    </w:p>
    <w:p w14:paraId="7C4300B8">
      <w:pPr>
        <w:spacing w:after="120"/>
        <w:jc w:val="both"/>
      </w:pPr>
      <w:r>
        <w:tab/>
      </w:r>
      <w:r>
        <w:t>- Mua sắm tài sản phải có kế hoach, mục đích và nhu cầu sử dụng thực tế, được Hiệu trưởng phê duyệt, tài sản được ghi vào sổ tài sản theo dõi.</w:t>
      </w:r>
    </w:p>
    <w:p w14:paraId="317F8483">
      <w:pPr>
        <w:spacing w:after="120"/>
        <w:ind w:firstLine="567"/>
        <w:jc w:val="both"/>
        <w:rPr>
          <w:b/>
          <w:bCs/>
        </w:rPr>
      </w:pPr>
      <w:r>
        <w:rPr>
          <w:b/>
          <w:bCs/>
        </w:rPr>
        <w:t xml:space="preserve">2. Sửa chữa tài sản </w:t>
      </w:r>
    </w:p>
    <w:p w14:paraId="040B5E33">
      <w:pPr>
        <w:tabs>
          <w:tab w:val="left" w:pos="720"/>
          <w:tab w:val="left" w:pos="3880"/>
        </w:tabs>
        <w:spacing w:after="120"/>
        <w:ind w:firstLine="567"/>
        <w:jc w:val="both"/>
      </w:pPr>
      <w:r>
        <w:t>Chi sửa chữa trang thiết bị, TSCĐ …theo nhu cầu thực tế trên cơ sở cần thiết, tiết kiệm. Các bộ phận cần lập kế hoạch và đầy đủ hồ sơ thanh toán theo đúng quy định hiện hành được Hiệu trưởng phê duyệt.</w:t>
      </w:r>
    </w:p>
    <w:p w14:paraId="43297E61">
      <w:pPr>
        <w:spacing w:after="120"/>
        <w:ind w:firstLine="567"/>
        <w:jc w:val="both"/>
        <w:rPr>
          <w:b/>
          <w:bCs/>
        </w:rPr>
      </w:pPr>
      <w:r>
        <w:rPr>
          <w:b/>
          <w:bCs/>
        </w:rPr>
        <w:t>3. Quản lý và sử dụng tài sản tại nhà trường</w:t>
      </w:r>
    </w:p>
    <w:p w14:paraId="29E21D64">
      <w:pPr>
        <w:spacing w:after="120"/>
        <w:ind w:firstLine="567"/>
        <w:jc w:val="both"/>
        <w:rPr>
          <w:b/>
          <w:bCs/>
        </w:rPr>
      </w:pPr>
      <w:r>
        <w:t>- Tài sản công phải được quản lý, sử dụng đúng mục đích và áp dụng tiêu chuẩn, định mức sử dụng tài sản công theo quy định của pháp luật về quản lý và sử dụng tài công. Quản lý và sử dụng tài sản theo quy chế.</w:t>
      </w:r>
    </w:p>
    <w:p w14:paraId="628E4A1C">
      <w:pPr>
        <w:spacing w:after="120"/>
        <w:jc w:val="both"/>
      </w:pPr>
      <w:r>
        <w:tab/>
      </w:r>
      <w:r>
        <w:t>- Tài sản giao cho bộ phận, cá nhân quản lý phải có biên bản bàn giao, khi sử dụng mà tài sản hỏng mất hoặc không còn giá trị sử dụng phải báo cáo Hiệu trưởng để có giải pháp xử lý.</w:t>
      </w:r>
    </w:p>
    <w:p w14:paraId="07BE0AA3">
      <w:pPr>
        <w:spacing w:after="120"/>
        <w:jc w:val="both"/>
      </w:pPr>
      <w:r>
        <w:tab/>
      </w:r>
      <w:r>
        <w:t xml:space="preserve">- Kế toán ghi chép, theo dõi tài sản theo quy định, hàng năm tham gia kiểm kê, đánh giá tài sản vào tháng 12 trước khi kết thúc năm tài chính. </w:t>
      </w:r>
    </w:p>
    <w:p w14:paraId="20AAC95D">
      <w:pPr>
        <w:spacing w:before="120" w:after="120"/>
        <w:ind w:firstLine="567"/>
        <w:jc w:val="both"/>
        <w:rPr>
          <w:b/>
          <w:bCs/>
        </w:rPr>
      </w:pPr>
      <w:r>
        <w:rPr>
          <w:b/>
          <w:bCs/>
        </w:rPr>
        <w:t>Điều 15. Các nội dung chi khác</w:t>
      </w:r>
    </w:p>
    <w:p w14:paraId="52FBA676">
      <w:pPr>
        <w:spacing w:before="120" w:after="120"/>
        <w:ind w:firstLine="720"/>
        <w:jc w:val="both"/>
        <w:rPr>
          <w:b/>
          <w:bCs/>
          <w:i/>
          <w:iCs/>
        </w:rPr>
      </w:pPr>
      <w:r>
        <w:rPr>
          <w:b/>
          <w:bCs/>
          <w:i/>
          <w:iCs/>
        </w:rPr>
        <w:t>1. Chi hỗ trợ cán bộ đi học và tập huấn</w:t>
      </w:r>
    </w:p>
    <w:p w14:paraId="513EABE4">
      <w:pPr>
        <w:ind w:firstLine="720"/>
        <w:jc w:val="both"/>
        <w:rPr>
          <w:color w:val="0000FF"/>
          <w:spacing w:val="3"/>
          <w:shd w:val="clear" w:color="auto" w:fill="FFFFFF"/>
        </w:rPr>
      </w:pPr>
      <w:r>
        <w:t>Thực hiện theo Thông tư số 36/2018/TT-BTC ngày ngày 30/3/2018 của Bộ Tài chính</w:t>
      </w:r>
      <w:r>
        <w:rPr>
          <w:highlight w:val="white"/>
        </w:rPr>
        <w:t xml:space="preserve"> về việc hướng dẫn lập dự toán, quản lý, sử dụng và quyết toán kinh phí dành cho công tác đào tạo, bồi dưỡng cán bộ, công chức, viên chức; </w:t>
      </w:r>
      <w:r>
        <w:rPr>
          <w:color w:val="0000FF"/>
          <w:spacing w:val="3"/>
          <w:shd w:val="clear" w:color="auto" w:fill="FFFFFF"/>
        </w:rPr>
        <w:t xml:space="preserve">Thông tư số 06/2013/TT-BTC ngày 31/01/2023 của Bộ Tài chính về việc sửa đổi, bổ sung một số điều của Thông tư số 36/2018/TT-BTC ngày ngày 30/3/2018 của Bộ Tài chính về việc hướng dẫn lập dự toán, quản lý, sử dụng và quyết toán kinh phí dành cho công tác đào tạo, bồi dưỡng cán bộ. Cán bộ, giáo viên, nhân viên được cử đi học, đào tạo, bồi dưỡng theo Quyết định của Tỉnh, Sở Giáo dục, Ủy ban nhân dân huyện, Phòng GD&amp;ĐT được hỗ trợ kinh phí như sau: </w:t>
      </w:r>
    </w:p>
    <w:p w14:paraId="4B08331A">
      <w:pPr>
        <w:spacing w:before="120" w:after="120"/>
        <w:ind w:firstLine="720"/>
        <w:jc w:val="both"/>
      </w:pPr>
      <w:r>
        <w:t xml:space="preserve">Cán bộ, giáo viên, nhân viên đi học theo quyết định của Tỉnh, Sở Giáo dục, Phòng GD&amp;ĐT được hỗ trợ kinh phí như sau: </w:t>
      </w:r>
    </w:p>
    <w:p w14:paraId="205ADB46">
      <w:pPr>
        <w:spacing w:before="120" w:after="120"/>
        <w:jc w:val="both"/>
      </w:pPr>
      <w:r>
        <w:tab/>
      </w:r>
      <w:r>
        <w:t>-Hỗ trợ các khoản học phí, tiền mua giáo trình, tài liệu học tập bắt buộc và các khoản chi phí bắt buộc khác phải trả cho cơ sở đào tạo, bồi dưỡng; Căn cứ thông báo, hóa đơn, chứng từ của cơ quan đào tạo bồi dưỡng.</w:t>
      </w:r>
    </w:p>
    <w:p w14:paraId="149D580C">
      <w:pPr>
        <w:spacing w:before="120" w:after="120"/>
        <w:jc w:val="both"/>
      </w:pPr>
      <w:r>
        <w:tab/>
      </w:r>
      <w:r>
        <w:t>- Tiền xe: Theo chế độ công tác phí quy định tại Khoản 1 Điều 11;</w:t>
      </w:r>
    </w:p>
    <w:p w14:paraId="7347718A">
      <w:pPr>
        <w:spacing w:before="120" w:after="120"/>
        <w:ind w:firstLine="720"/>
        <w:jc w:val="both"/>
      </w:pPr>
      <w:r>
        <w:t>- Phụ cấp lưu trú: 100.000đ/ngày;</w:t>
      </w:r>
    </w:p>
    <w:p w14:paraId="33FDA894">
      <w:pPr>
        <w:spacing w:before="120" w:after="120"/>
        <w:ind w:firstLine="720"/>
        <w:jc w:val="both"/>
      </w:pPr>
      <w:r>
        <w:t>- Tiền ăn: 100.000đ/người/ngày</w:t>
      </w:r>
    </w:p>
    <w:p w14:paraId="16DBA948">
      <w:pPr>
        <w:spacing w:before="120" w:after="120"/>
        <w:jc w:val="both"/>
      </w:pPr>
      <w:r>
        <w:tab/>
      </w:r>
      <w:r>
        <w:t>- Tiền ngủ: 100.000đ/người/ngày.</w:t>
      </w:r>
    </w:p>
    <w:p w14:paraId="03F9E33C">
      <w:pPr>
        <w:spacing w:before="120" w:after="120"/>
        <w:jc w:val="both"/>
        <w:rPr>
          <w:b/>
          <w:bCs/>
          <w:i/>
          <w:iCs/>
        </w:rPr>
      </w:pPr>
      <w:r>
        <w:rPr>
          <w:b/>
          <w:bCs/>
        </w:rPr>
        <w:tab/>
      </w:r>
      <w:r>
        <w:rPr>
          <w:b/>
          <w:bCs/>
          <w:i/>
          <w:iCs/>
        </w:rPr>
        <w:t>2. Chế độ tiếp khách</w:t>
      </w:r>
    </w:p>
    <w:p w14:paraId="248F317E">
      <w:pPr>
        <w:spacing w:before="120" w:after="120"/>
        <w:ind w:firstLine="720"/>
        <w:jc w:val="both"/>
        <w:rPr>
          <w:highlight w:val="white"/>
        </w:rPr>
      </w:pPr>
      <w:r>
        <w:t>Thực hiện theo Thông tư số 71/2018/TT-BTC ngày ngày 10/8/2018 của Bộ Tài chính</w:t>
      </w:r>
      <w:r>
        <w:rPr>
          <w:highlight w:val="white"/>
        </w:rPr>
        <w:t xml:space="preserve"> Quy định chế độ tiếp khách nước ngoài vào làm việc tại Việt Nam, chế độ chi tổ chức hội nghị, hội thảo quốc tế tại Việt Nam và chế độ tiếp khách trong nước;</w:t>
      </w:r>
    </w:p>
    <w:p w14:paraId="246A6732">
      <w:pPr>
        <w:spacing w:before="120" w:after="120"/>
        <w:ind w:firstLine="720"/>
        <w:jc w:val="both"/>
        <w:rPr>
          <w:b/>
          <w:bCs/>
          <w:spacing w:val="-4"/>
        </w:rPr>
      </w:pPr>
      <w:r>
        <w:rPr>
          <w:spacing w:val="-4"/>
          <w:highlight w:val="white"/>
        </w:rPr>
        <w:t>Thực hiện theo Nghị quyết số 189/NQ-HĐND ngày 30/7/2019 của Hội đồng nhân dân tỉnh Quảng Ninh về việc Quy định mức chi tiếp khách nước ngoài, chi tổ chức hội nghị quốc tế tại Việt Nam và chi chế độ tiếp khách trong nước.</w:t>
      </w:r>
    </w:p>
    <w:p w14:paraId="2105BA63">
      <w:pPr>
        <w:spacing w:before="120" w:after="120"/>
        <w:jc w:val="both"/>
        <w:rPr>
          <w:b/>
          <w:bCs/>
        </w:rPr>
      </w:pPr>
      <w:r>
        <w:rPr>
          <w:b/>
          <w:bCs/>
        </w:rPr>
        <w:tab/>
      </w:r>
      <w:r>
        <w:rPr>
          <w:b/>
          <w:bCs/>
        </w:rPr>
        <w:t xml:space="preserve">- </w:t>
      </w:r>
      <w:r>
        <w:t>Chi mời cơm khách: Không quá 200.000đồng/người/Xuất bao gồm cả nước uống.</w:t>
      </w:r>
    </w:p>
    <w:p w14:paraId="73CC3DE8">
      <w:pPr>
        <w:spacing w:before="120" w:after="120"/>
        <w:jc w:val="both"/>
        <w:rPr>
          <w:b/>
          <w:bCs/>
        </w:rPr>
      </w:pPr>
      <w:r>
        <w:rPr>
          <w:b/>
          <w:bCs/>
        </w:rPr>
        <w:tab/>
      </w:r>
      <w:r>
        <w:rPr>
          <w:b/>
          <w:bCs/>
        </w:rPr>
        <w:t xml:space="preserve">- </w:t>
      </w:r>
      <w:r>
        <w:t>Việc chi tiếp khách được thực hiện đúng đối tượng trên cơ sở tiết kiệm.</w:t>
      </w:r>
    </w:p>
    <w:p w14:paraId="7D6FD43B">
      <w:pPr>
        <w:spacing w:before="120" w:after="120"/>
        <w:jc w:val="both"/>
      </w:pPr>
      <w:r>
        <w:rPr>
          <w:b/>
          <w:bCs/>
        </w:rPr>
        <w:tab/>
      </w:r>
      <w:r>
        <w:rPr>
          <w:b/>
          <w:bCs/>
        </w:rPr>
        <w:t>3.</w:t>
      </w:r>
      <w:r>
        <w:rPr>
          <w:b/>
          <w:bCs/>
          <w:i/>
          <w:iCs/>
        </w:rPr>
        <w:t xml:space="preserve"> Chi kỷ niệm các ngày lễ lớn</w:t>
      </w:r>
    </w:p>
    <w:p w14:paraId="462DCB74">
      <w:pPr>
        <w:spacing w:before="120" w:after="120"/>
        <w:ind w:firstLine="567"/>
        <w:jc w:val="both"/>
      </w:pPr>
      <w:r>
        <w:t>- Chi trang trí khánh tiết: Không quá 300.000đ/lần tổ chức;</w:t>
      </w:r>
    </w:p>
    <w:p w14:paraId="65E2E9E5">
      <w:pPr>
        <w:spacing w:before="120" w:after="120"/>
        <w:ind w:firstLine="567"/>
        <w:jc w:val="both"/>
      </w:pPr>
      <w:r>
        <w:t>- Tiền nước uống: Không quá 30.000đồng/người/ngày;</w:t>
      </w:r>
    </w:p>
    <w:p w14:paraId="4D33DE57">
      <w:pPr>
        <w:spacing w:before="120" w:after="120"/>
        <w:ind w:firstLine="567"/>
        <w:jc w:val="both"/>
      </w:pPr>
      <w:r>
        <w:t>- Chi mua hàng hóa khác: Thanh toán theo thực tế.</w:t>
      </w:r>
    </w:p>
    <w:p w14:paraId="59E59BE0">
      <w:pPr>
        <w:spacing w:line="276" w:lineRule="auto"/>
        <w:jc w:val="both"/>
        <w:rPr>
          <w:b/>
          <w:bCs/>
          <w:i/>
          <w:iCs/>
        </w:rPr>
      </w:pPr>
      <w:r>
        <w:rPr>
          <w:b/>
          <w:bCs/>
          <w:i/>
          <w:iCs/>
        </w:rPr>
        <w:tab/>
      </w:r>
      <w:r>
        <w:rPr>
          <w:b/>
          <w:bCs/>
          <w:i/>
          <w:iCs/>
        </w:rPr>
        <w:t>4. Chi hỗ trợ khác</w:t>
      </w:r>
    </w:p>
    <w:p w14:paraId="5899CC45">
      <w:pPr>
        <w:ind w:firstLine="720"/>
        <w:jc w:val="both"/>
        <w:rPr>
          <w:i/>
          <w:sz w:val="27"/>
          <w:szCs w:val="27"/>
        </w:rPr>
      </w:pPr>
      <w:r>
        <w:rPr>
          <w:sz w:val="27"/>
          <w:szCs w:val="27"/>
        </w:rPr>
        <w:t xml:space="preserve">Hoạt động của các đoàn thể ( đoàn thanh niên, công đoàn ), hoạt động của giáo viên và học sinh áp dụng mức chi theo quy định hiện hành và mức chi như chi hoạt động giáo dục khác </w:t>
      </w:r>
      <w:r>
        <w:rPr>
          <w:i/>
          <w:sz w:val="27"/>
          <w:szCs w:val="27"/>
        </w:rPr>
        <w:t>( Các đoàn thể phải lập kế hoạch, tờ trình, dự trù kinh phí và trình Hiệu trưởng nhà trường phê duyệt).</w:t>
      </w:r>
    </w:p>
    <w:p w14:paraId="1F3E627D">
      <w:pPr>
        <w:ind w:firstLine="720"/>
        <w:jc w:val="both"/>
        <w:rPr>
          <w:i/>
          <w:sz w:val="27"/>
          <w:szCs w:val="27"/>
        </w:rPr>
      </w:pPr>
      <w:r>
        <w:rPr>
          <w:i/>
          <w:sz w:val="27"/>
          <w:szCs w:val="27"/>
        </w:rPr>
        <w:t>Nội dung chi và mức chi cụ thể như sau:</w:t>
      </w:r>
    </w:p>
    <w:p w14:paraId="37550CB5">
      <w:pPr>
        <w:spacing w:after="120"/>
        <w:ind w:firstLine="567"/>
        <w:jc w:val="both"/>
        <w:rPr>
          <w:color w:val="000000"/>
          <w:sz w:val="27"/>
          <w:szCs w:val="27"/>
        </w:rPr>
      </w:pPr>
      <w:r>
        <w:rPr>
          <w:color w:val="000000"/>
          <w:sz w:val="27"/>
          <w:szCs w:val="27"/>
        </w:rPr>
        <w:t>- Chi trang trí khánh tiết: Không quá 300.000đ/lần tổ chức;</w:t>
      </w:r>
    </w:p>
    <w:p w14:paraId="54D5578A">
      <w:pPr>
        <w:spacing w:before="120" w:after="120"/>
        <w:ind w:firstLine="567"/>
        <w:jc w:val="both"/>
        <w:rPr>
          <w:sz w:val="27"/>
          <w:szCs w:val="27"/>
        </w:rPr>
      </w:pPr>
      <w:r>
        <w:rPr>
          <w:sz w:val="27"/>
          <w:szCs w:val="27"/>
        </w:rPr>
        <w:t>- Tiền</w:t>
      </w:r>
      <w:r>
        <w:rPr>
          <w:b/>
          <w:sz w:val="27"/>
          <w:szCs w:val="27"/>
        </w:rPr>
        <w:t xml:space="preserve"> </w:t>
      </w:r>
      <w:r>
        <w:rPr>
          <w:sz w:val="27"/>
          <w:szCs w:val="27"/>
        </w:rPr>
        <w:t xml:space="preserve">nước uống: </w:t>
      </w:r>
      <w:r>
        <w:rPr>
          <w:color w:val="000000"/>
          <w:sz w:val="27"/>
          <w:szCs w:val="27"/>
        </w:rPr>
        <w:t>20.000đồng/người/buổi, 30.000đồng/người/ngày.</w:t>
      </w:r>
    </w:p>
    <w:p w14:paraId="178C3688">
      <w:pPr>
        <w:spacing w:after="120"/>
        <w:ind w:firstLine="567"/>
        <w:jc w:val="both"/>
        <w:rPr>
          <w:color w:val="000000"/>
          <w:sz w:val="27"/>
          <w:szCs w:val="27"/>
        </w:rPr>
      </w:pPr>
      <w:r>
        <w:rPr>
          <w:color w:val="000000"/>
          <w:sz w:val="27"/>
          <w:szCs w:val="27"/>
        </w:rPr>
        <w:t>- Chi mua hàng hóa khác: Thanh toán theo thực tế.</w:t>
      </w:r>
    </w:p>
    <w:p w14:paraId="7914BA5F">
      <w:pPr>
        <w:spacing w:before="120"/>
        <w:ind w:firstLine="720"/>
        <w:jc w:val="both"/>
        <w:rPr>
          <w:b/>
          <w:bCs/>
        </w:rPr>
      </w:pPr>
      <w:r>
        <w:rPr>
          <w:b/>
          <w:bCs/>
        </w:rPr>
        <w:t>Điều 16. Phân phối kết quả tài chính trong năm</w:t>
      </w:r>
    </w:p>
    <w:p w14:paraId="2B3ECCD8">
      <w:pPr>
        <w:spacing w:before="120"/>
        <w:ind w:firstLine="720"/>
        <w:jc w:val="both"/>
      </w:pPr>
      <w:r>
        <w:t>Kết thúc năm tài chính, sau khi hạch toán đầy đủ các khoản thu, chi phí thường xuyên giao tự chủ, trích khấu hao tài sản cố định (đơn vị tính hao mòn tài sản cố định theo quy định của pháp luật về quản lý, sử dụng tài sản công), trích lập nguồn cải cách tiền lương theo quy định tại Điểm b Khoản 1 Điều 20 Nghị định số 60/2021/NĐ-CP, nộp thuế và các khoản nộp ngân sách Nhà nước theo quy định (nếu có), phần chênh lệch thu lớn hơn chi hoạt động thường xuyên giao tự chủ (nếu có) được xác định là kinh phí chi thường xuyên tiết kiệm được.</w:t>
      </w:r>
    </w:p>
    <w:p w14:paraId="2345378A">
      <w:pPr>
        <w:spacing w:before="120"/>
        <w:ind w:firstLine="720"/>
        <w:jc w:val="both"/>
      </w:pPr>
      <w:r>
        <w:t>Căn cứ vào nguồn kinh phí cấp chi thường xuyên trên cơ sở nhiệm vụ được Nhà nước giao, số lượng người làm việc và định mức phân bổ dự toán được cấp có thẩm quyền phê duyệt đối với đơn vị, xét thấy số kinh phí chi thường xuyên có thể tiết kiệm được trong năm không quá 0,3 lần quỹ tiền lương cơ bản của viên chức, người lao động</w:t>
      </w:r>
      <w:r>
        <w:rPr>
          <w:highlight w:val="lightGray"/>
        </w:rPr>
        <w:t>.</w:t>
      </w:r>
      <w:r>
        <w:t xml:space="preserve"> Được sự nhất trí của tập thể cán bộ, giáo viên, nhân viên, người lao động trong  nhà trường, thủ trưởng đơn vị quyết định sử dụng số kinh phí chi thường xuyên tiết kiệm trích 100% chi bổ sung thu nhập tăng thêm cho viên chức, người lao động mà không trích lập các quỹ khen thưởng, quỹ phúc lợi, quỹ dự phòng ổn định thu nhập. </w:t>
      </w:r>
    </w:p>
    <w:p w14:paraId="31705E09">
      <w:pPr>
        <w:spacing w:before="120" w:after="120"/>
        <w:ind w:firstLine="720"/>
        <w:jc w:val="both"/>
        <w:rPr>
          <w:b/>
          <w:bCs/>
          <w:i/>
          <w:iCs/>
          <w:spacing w:val="-10"/>
        </w:rPr>
      </w:pPr>
      <w:r>
        <w:rPr>
          <w:b/>
          <w:bCs/>
          <w:i/>
          <w:iCs/>
          <w:spacing w:val="-10"/>
        </w:rPr>
        <w:t xml:space="preserve">Nội dung chi bổ sung thu nhập tăng thêm cho CB, GV, NV, người lao động: </w:t>
      </w:r>
    </w:p>
    <w:p w14:paraId="0455F214">
      <w:pPr>
        <w:overflowPunct w:val="0"/>
        <w:autoSpaceDE w:val="0"/>
        <w:autoSpaceDN w:val="0"/>
        <w:adjustRightInd w:val="0"/>
        <w:ind w:firstLine="720"/>
        <w:jc w:val="both"/>
        <w:textAlignment w:val="baseline"/>
        <w:rPr>
          <w:bCs/>
          <w:szCs w:val="20"/>
          <w:lang w:val="en-AU"/>
        </w:rPr>
      </w:pPr>
      <w:r>
        <w:t xml:space="preserve">-  </w:t>
      </w:r>
      <w:r>
        <w:rPr>
          <w:bCs/>
          <w:szCs w:val="20"/>
          <w:lang w:val="en-AU"/>
        </w:rPr>
        <w:t>Thực hiện theo Điều 22 Nghị định 60/2020/NĐ-CP ngày 21/6/2021 của Chính phủ và Điều 10 Thông tư 56/2022/TT-BTC ngày 16/9/2022 của Bộ tài chính.</w:t>
      </w:r>
    </w:p>
    <w:p w14:paraId="78F6DE7F">
      <w:pPr>
        <w:spacing w:before="120" w:after="120"/>
        <w:ind w:firstLine="720"/>
        <w:jc w:val="both"/>
      </w:pPr>
      <w:r>
        <w:t>- Trong năm, căn cứ kết quả hoạt động tài chính quý của đơn vị, nhằm động viên kịp thời cho cán bộ, giáo viên, nhân viên, người lao động phấn đấu hoàn thành nhiệm vụ được giao, căn cứ vào số kinh phí có thể tiết kiệm, thủ trưởng đơn vị được quyết định tạm chi trước thu nhập tăng thêm 06 tháng cho người lao động trong đơn vị; mức tạm chi của đơn vị tối đa không quá 20% quỹ tiền lương một quý của đơn vị</w:t>
      </w:r>
    </w:p>
    <w:p w14:paraId="31C2AA25">
      <w:pPr>
        <w:spacing w:before="120" w:after="120"/>
        <w:ind w:firstLine="720"/>
        <w:jc w:val="both"/>
      </w:pPr>
      <w:r>
        <w:t>- Thời gian chi: Vào giữa năm (căn cứ vào nguồn tiết kiệm chi 06 tháng đầu) và chi vào cuối năm (căn cứ vào nguồn tiết kiệm chi cuối năm).</w:t>
      </w:r>
    </w:p>
    <w:p w14:paraId="14061899">
      <w:pPr>
        <w:spacing w:before="120" w:after="120"/>
        <w:jc w:val="both"/>
        <w:rPr>
          <w:spacing w:val="-4"/>
        </w:rPr>
      </w:pPr>
      <w:r>
        <w:rPr>
          <w:spacing w:val="-4"/>
        </w:rPr>
        <w:tab/>
      </w:r>
      <w:r>
        <w:rPr>
          <w:spacing w:val="-4"/>
        </w:rPr>
        <w:t>- Chi thu nhập tăng thêm cho viên chức, người lao động trong đơn vị trên cơ sở kết quả bình xét thi đua 06 tháng hoặc cả năm, được phân theo hệ số A, B, C, D:</w:t>
      </w:r>
    </w:p>
    <w:p w14:paraId="48EA602D">
      <w:pPr>
        <w:spacing w:before="280"/>
        <w:jc w:val="both"/>
        <w:rPr>
          <w:b/>
          <w:bCs/>
        </w:rPr>
      </w:pPr>
      <w:r>
        <w:rPr>
          <w:b/>
          <w:bCs/>
        </w:rPr>
        <w:tab/>
      </w:r>
      <w:r>
        <w:t>+ Xếp loại A, hưởng hệ số: 1,0</w:t>
      </w:r>
      <w:r>
        <w:rPr>
          <w:b/>
          <w:bCs/>
        </w:rPr>
        <w:tab/>
      </w:r>
    </w:p>
    <w:p w14:paraId="627879D5">
      <w:pPr>
        <w:spacing w:before="280"/>
        <w:jc w:val="both"/>
        <w:rPr>
          <w:b/>
          <w:bCs/>
        </w:rPr>
      </w:pPr>
      <w:r>
        <w:tab/>
      </w:r>
      <w:r>
        <w:t>+ Xếp loại B, hưởng hệ số: 0,9</w:t>
      </w:r>
    </w:p>
    <w:p w14:paraId="42E6D844">
      <w:pPr>
        <w:spacing w:before="120" w:after="120"/>
        <w:jc w:val="both"/>
      </w:pPr>
      <w:r>
        <w:rPr>
          <w:b/>
          <w:bCs/>
        </w:rPr>
        <w:tab/>
      </w:r>
      <w:r>
        <w:t>+ Xếp loại C, hưởng hệ số: 0.8</w:t>
      </w:r>
      <w:r>
        <w:rPr>
          <w:b/>
          <w:bCs/>
        </w:rPr>
        <w:tab/>
      </w:r>
    </w:p>
    <w:p w14:paraId="2D037428">
      <w:pPr>
        <w:jc w:val="both"/>
        <w:rPr>
          <w:b/>
          <w:bCs/>
        </w:rPr>
      </w:pPr>
      <w:r>
        <w:rPr>
          <w:b/>
          <w:bCs/>
        </w:rPr>
        <w:tab/>
      </w:r>
      <w:r>
        <w:rPr>
          <w:b/>
          <w:bCs/>
        </w:rPr>
        <w:t xml:space="preserve"> Công thức tính:</w:t>
      </w:r>
    </w:p>
    <w:p w14:paraId="788BF8FF">
      <w:pPr>
        <w:jc w:val="both"/>
        <w:rPr>
          <w:b/>
          <w:bCs/>
        </w:rPr>
      </w:pPr>
    </w:p>
    <w:tbl>
      <w:tblPr>
        <w:tblStyle w:val="9"/>
        <w:tblW w:w="9513" w:type="dxa"/>
        <w:tblInd w:w="2" w:type="dxa"/>
        <w:tblLayout w:type="fixed"/>
        <w:tblCellMar>
          <w:top w:w="0" w:type="dxa"/>
          <w:left w:w="115" w:type="dxa"/>
          <w:bottom w:w="0" w:type="dxa"/>
          <w:right w:w="115" w:type="dxa"/>
        </w:tblCellMar>
      </w:tblPr>
      <w:tblGrid>
        <w:gridCol w:w="2787"/>
        <w:gridCol w:w="757"/>
        <w:gridCol w:w="3024"/>
        <w:gridCol w:w="804"/>
        <w:gridCol w:w="2141"/>
      </w:tblGrid>
      <w:tr w14:paraId="63E4CDCF">
        <w:tblPrEx>
          <w:tblCellMar>
            <w:top w:w="0" w:type="dxa"/>
            <w:left w:w="115" w:type="dxa"/>
            <w:bottom w:w="0" w:type="dxa"/>
            <w:right w:w="115" w:type="dxa"/>
          </w:tblCellMar>
        </w:tblPrEx>
        <w:tc>
          <w:tcPr>
            <w:tcW w:w="2787" w:type="dxa"/>
            <w:vMerge w:val="restart"/>
            <w:vAlign w:val="center"/>
          </w:tcPr>
          <w:p w14:paraId="2CDC4001">
            <w:pPr>
              <w:jc w:val="center"/>
              <w:rPr>
                <w:sz w:val="27"/>
                <w:szCs w:val="27"/>
              </w:rPr>
            </w:pPr>
            <w:r>
              <w:rPr>
                <w:sz w:val="27"/>
                <w:szCs w:val="27"/>
              </w:rPr>
              <w:t>Mức chi thu nhập tăng thêm (01 người)</w:t>
            </w:r>
          </w:p>
        </w:tc>
        <w:tc>
          <w:tcPr>
            <w:tcW w:w="757" w:type="dxa"/>
            <w:vMerge w:val="restart"/>
            <w:vAlign w:val="center"/>
          </w:tcPr>
          <w:p w14:paraId="18903976">
            <w:pPr>
              <w:jc w:val="center"/>
              <w:rPr>
                <w:b/>
                <w:bCs/>
                <w:sz w:val="27"/>
                <w:szCs w:val="27"/>
              </w:rPr>
            </w:pPr>
            <w:r>
              <w:rPr>
                <w:b/>
                <w:bCs/>
                <w:sz w:val="27"/>
                <w:szCs w:val="27"/>
              </w:rPr>
              <w:t>=</w:t>
            </w:r>
          </w:p>
        </w:tc>
        <w:tc>
          <w:tcPr>
            <w:tcW w:w="3024" w:type="dxa"/>
            <w:tcBorders>
              <w:bottom w:val="single" w:color="000000" w:sz="4" w:space="0"/>
            </w:tcBorders>
          </w:tcPr>
          <w:p w14:paraId="6FF92833">
            <w:pPr>
              <w:jc w:val="center"/>
              <w:rPr>
                <w:sz w:val="27"/>
                <w:szCs w:val="27"/>
              </w:rPr>
            </w:pPr>
            <w:r>
              <w:rPr>
                <w:sz w:val="27"/>
                <w:szCs w:val="27"/>
              </w:rPr>
              <w:t>Tổng tiền tiết kiệm</w:t>
            </w:r>
          </w:p>
        </w:tc>
        <w:tc>
          <w:tcPr>
            <w:tcW w:w="804" w:type="dxa"/>
            <w:vMerge w:val="restart"/>
            <w:vAlign w:val="center"/>
          </w:tcPr>
          <w:p w14:paraId="44881F8B">
            <w:pPr>
              <w:jc w:val="center"/>
              <w:rPr>
                <w:b/>
                <w:bCs/>
                <w:sz w:val="27"/>
                <w:szCs w:val="27"/>
              </w:rPr>
            </w:pPr>
            <w:r>
              <w:rPr>
                <w:b/>
                <w:bCs/>
                <w:sz w:val="27"/>
                <w:szCs w:val="27"/>
              </w:rPr>
              <w:t>x</w:t>
            </w:r>
          </w:p>
        </w:tc>
        <w:tc>
          <w:tcPr>
            <w:tcW w:w="2141" w:type="dxa"/>
            <w:vMerge w:val="restart"/>
            <w:vAlign w:val="center"/>
          </w:tcPr>
          <w:p w14:paraId="352EEA71">
            <w:pPr>
              <w:jc w:val="center"/>
              <w:rPr>
                <w:sz w:val="27"/>
                <w:szCs w:val="27"/>
              </w:rPr>
            </w:pPr>
            <w:r>
              <w:rPr>
                <w:sz w:val="27"/>
                <w:szCs w:val="27"/>
              </w:rPr>
              <w:t>Hệ số chia thêm 01 người</w:t>
            </w:r>
          </w:p>
        </w:tc>
      </w:tr>
      <w:tr w14:paraId="2AA71E5A">
        <w:tblPrEx>
          <w:tblCellMar>
            <w:top w:w="0" w:type="dxa"/>
            <w:left w:w="115" w:type="dxa"/>
            <w:bottom w:w="0" w:type="dxa"/>
            <w:right w:w="115" w:type="dxa"/>
          </w:tblCellMar>
        </w:tblPrEx>
        <w:tc>
          <w:tcPr>
            <w:tcW w:w="2787" w:type="dxa"/>
            <w:vMerge w:val="continue"/>
            <w:vAlign w:val="center"/>
          </w:tcPr>
          <w:p w14:paraId="5BB87974">
            <w:pPr>
              <w:widowControl w:val="0"/>
              <w:spacing w:line="276" w:lineRule="auto"/>
              <w:rPr>
                <w:sz w:val="27"/>
                <w:szCs w:val="27"/>
              </w:rPr>
            </w:pPr>
          </w:p>
        </w:tc>
        <w:tc>
          <w:tcPr>
            <w:tcW w:w="757" w:type="dxa"/>
            <w:vMerge w:val="continue"/>
            <w:vAlign w:val="center"/>
          </w:tcPr>
          <w:p w14:paraId="4F184FA0">
            <w:pPr>
              <w:widowControl w:val="0"/>
              <w:spacing w:line="276" w:lineRule="auto"/>
              <w:rPr>
                <w:sz w:val="27"/>
                <w:szCs w:val="27"/>
              </w:rPr>
            </w:pPr>
          </w:p>
        </w:tc>
        <w:tc>
          <w:tcPr>
            <w:tcW w:w="3024" w:type="dxa"/>
            <w:tcBorders>
              <w:top w:val="single" w:color="000000" w:sz="4" w:space="0"/>
            </w:tcBorders>
          </w:tcPr>
          <w:p w14:paraId="72B389F5">
            <w:pPr>
              <w:jc w:val="center"/>
              <w:rPr>
                <w:sz w:val="27"/>
                <w:szCs w:val="27"/>
              </w:rPr>
            </w:pPr>
            <w:r>
              <w:rPr>
                <w:sz w:val="27"/>
                <w:szCs w:val="27"/>
              </w:rPr>
              <w:t>Tổng hệ số chia thêm</w:t>
            </w:r>
          </w:p>
        </w:tc>
        <w:tc>
          <w:tcPr>
            <w:tcW w:w="804" w:type="dxa"/>
            <w:vMerge w:val="continue"/>
            <w:vAlign w:val="center"/>
          </w:tcPr>
          <w:p w14:paraId="6CC07E3A">
            <w:pPr>
              <w:widowControl w:val="0"/>
              <w:spacing w:line="276" w:lineRule="auto"/>
              <w:rPr>
                <w:sz w:val="27"/>
                <w:szCs w:val="27"/>
              </w:rPr>
            </w:pPr>
          </w:p>
        </w:tc>
        <w:tc>
          <w:tcPr>
            <w:tcW w:w="2141" w:type="dxa"/>
            <w:vMerge w:val="continue"/>
            <w:vAlign w:val="center"/>
          </w:tcPr>
          <w:p w14:paraId="2FB76B96">
            <w:pPr>
              <w:widowControl w:val="0"/>
              <w:spacing w:line="276" w:lineRule="auto"/>
              <w:rPr>
                <w:sz w:val="27"/>
                <w:szCs w:val="27"/>
              </w:rPr>
            </w:pPr>
          </w:p>
        </w:tc>
      </w:tr>
    </w:tbl>
    <w:p w14:paraId="684439C3">
      <w:pPr>
        <w:spacing w:before="120"/>
        <w:ind w:firstLine="720"/>
        <w:jc w:val="both"/>
        <w:rPr>
          <w:i/>
          <w:iCs/>
          <w:sz w:val="27"/>
          <w:szCs w:val="27"/>
        </w:rPr>
      </w:pPr>
      <w:r>
        <w:rPr>
          <w:i/>
          <w:iCs/>
          <w:sz w:val="27"/>
          <w:szCs w:val="27"/>
        </w:rPr>
        <w:t xml:space="preserve">* Đối với CB, GV, NV nghỉ hưu; GV, NV chuyển đến; hợp đồng mới (công tác không đủ 12 tháng/ năm ):  </w:t>
      </w:r>
    </w:p>
    <w:p w14:paraId="1C68CA3B">
      <w:pPr>
        <w:spacing w:before="120"/>
        <w:ind w:firstLine="720"/>
        <w:jc w:val="both"/>
        <w:rPr>
          <w:i/>
          <w:iCs/>
          <w:sz w:val="27"/>
          <w:szCs w:val="27"/>
        </w:rPr>
      </w:pPr>
    </w:p>
    <w:tbl>
      <w:tblPr>
        <w:tblStyle w:val="9"/>
        <w:tblW w:w="9804" w:type="dxa"/>
        <w:tblInd w:w="2" w:type="dxa"/>
        <w:tblLayout w:type="fixed"/>
        <w:tblCellMar>
          <w:top w:w="0" w:type="dxa"/>
          <w:left w:w="115" w:type="dxa"/>
          <w:bottom w:w="0" w:type="dxa"/>
          <w:right w:w="115" w:type="dxa"/>
        </w:tblCellMar>
      </w:tblPr>
      <w:tblGrid>
        <w:gridCol w:w="2087"/>
        <w:gridCol w:w="757"/>
        <w:gridCol w:w="3648"/>
        <w:gridCol w:w="804"/>
        <w:gridCol w:w="2508"/>
      </w:tblGrid>
      <w:tr w14:paraId="55C57D82">
        <w:tblPrEx>
          <w:tblCellMar>
            <w:top w:w="0" w:type="dxa"/>
            <w:left w:w="115" w:type="dxa"/>
            <w:bottom w:w="0" w:type="dxa"/>
            <w:right w:w="115" w:type="dxa"/>
          </w:tblCellMar>
        </w:tblPrEx>
        <w:tc>
          <w:tcPr>
            <w:tcW w:w="2087" w:type="dxa"/>
            <w:vMerge w:val="restart"/>
          </w:tcPr>
          <w:p w14:paraId="7B22EB7B">
            <w:pPr>
              <w:jc w:val="center"/>
              <w:rPr>
                <w:sz w:val="27"/>
                <w:szCs w:val="27"/>
              </w:rPr>
            </w:pPr>
            <w:r>
              <w:rPr>
                <w:sz w:val="27"/>
                <w:szCs w:val="27"/>
              </w:rPr>
              <w:t>Hệ số chia thêm ( 01 người )</w:t>
            </w:r>
          </w:p>
        </w:tc>
        <w:tc>
          <w:tcPr>
            <w:tcW w:w="757" w:type="dxa"/>
            <w:vMerge w:val="restart"/>
            <w:vAlign w:val="center"/>
          </w:tcPr>
          <w:p w14:paraId="05B0DAC7">
            <w:pPr>
              <w:jc w:val="center"/>
              <w:rPr>
                <w:b/>
                <w:bCs/>
                <w:sz w:val="27"/>
                <w:szCs w:val="27"/>
              </w:rPr>
            </w:pPr>
            <w:r>
              <w:rPr>
                <w:b/>
                <w:bCs/>
                <w:sz w:val="27"/>
                <w:szCs w:val="27"/>
              </w:rPr>
              <w:t>=</w:t>
            </w:r>
          </w:p>
        </w:tc>
        <w:tc>
          <w:tcPr>
            <w:tcW w:w="3648" w:type="dxa"/>
            <w:tcBorders>
              <w:bottom w:val="single" w:color="000000" w:sz="4" w:space="0"/>
            </w:tcBorders>
          </w:tcPr>
          <w:p w14:paraId="6CC5B8F7">
            <w:pPr>
              <w:jc w:val="center"/>
              <w:rPr>
                <w:sz w:val="27"/>
                <w:szCs w:val="27"/>
              </w:rPr>
            </w:pPr>
            <w:r>
              <w:rPr>
                <w:sz w:val="27"/>
                <w:szCs w:val="27"/>
              </w:rPr>
              <w:t xml:space="preserve">Hệ số chia thêm theo xếp loại </w:t>
            </w:r>
          </w:p>
        </w:tc>
        <w:tc>
          <w:tcPr>
            <w:tcW w:w="804" w:type="dxa"/>
            <w:vMerge w:val="restart"/>
            <w:vAlign w:val="center"/>
          </w:tcPr>
          <w:p w14:paraId="7855D02A">
            <w:pPr>
              <w:jc w:val="center"/>
              <w:rPr>
                <w:b/>
                <w:bCs/>
                <w:sz w:val="27"/>
                <w:szCs w:val="27"/>
              </w:rPr>
            </w:pPr>
            <w:r>
              <w:rPr>
                <w:b/>
                <w:bCs/>
                <w:sz w:val="27"/>
                <w:szCs w:val="27"/>
              </w:rPr>
              <w:t>x</w:t>
            </w:r>
          </w:p>
        </w:tc>
        <w:tc>
          <w:tcPr>
            <w:tcW w:w="2508" w:type="dxa"/>
            <w:vMerge w:val="restart"/>
          </w:tcPr>
          <w:p w14:paraId="0F1FE5F4">
            <w:pPr>
              <w:jc w:val="center"/>
              <w:rPr>
                <w:sz w:val="27"/>
                <w:szCs w:val="27"/>
              </w:rPr>
            </w:pPr>
            <w:r>
              <w:rPr>
                <w:sz w:val="27"/>
                <w:szCs w:val="27"/>
              </w:rPr>
              <w:t>Số tháng thực tế công tác tại trường</w:t>
            </w:r>
          </w:p>
        </w:tc>
      </w:tr>
      <w:tr w14:paraId="14EDE97B">
        <w:tblPrEx>
          <w:tblCellMar>
            <w:top w:w="0" w:type="dxa"/>
            <w:left w:w="115" w:type="dxa"/>
            <w:bottom w:w="0" w:type="dxa"/>
            <w:right w:w="115" w:type="dxa"/>
          </w:tblCellMar>
        </w:tblPrEx>
        <w:tc>
          <w:tcPr>
            <w:tcW w:w="2087" w:type="dxa"/>
            <w:vMerge w:val="continue"/>
          </w:tcPr>
          <w:p w14:paraId="146CC317">
            <w:pPr>
              <w:widowControl w:val="0"/>
              <w:spacing w:line="276" w:lineRule="auto"/>
              <w:rPr>
                <w:sz w:val="27"/>
                <w:szCs w:val="27"/>
              </w:rPr>
            </w:pPr>
          </w:p>
        </w:tc>
        <w:tc>
          <w:tcPr>
            <w:tcW w:w="757" w:type="dxa"/>
            <w:vMerge w:val="continue"/>
            <w:vAlign w:val="center"/>
          </w:tcPr>
          <w:p w14:paraId="2B84FB2F">
            <w:pPr>
              <w:widowControl w:val="0"/>
              <w:spacing w:line="276" w:lineRule="auto"/>
              <w:rPr>
                <w:sz w:val="27"/>
                <w:szCs w:val="27"/>
              </w:rPr>
            </w:pPr>
          </w:p>
        </w:tc>
        <w:tc>
          <w:tcPr>
            <w:tcW w:w="3648" w:type="dxa"/>
            <w:tcBorders>
              <w:top w:val="single" w:color="000000" w:sz="4" w:space="0"/>
            </w:tcBorders>
          </w:tcPr>
          <w:p w14:paraId="27A50BE6">
            <w:pPr>
              <w:jc w:val="center"/>
            </w:pPr>
            <w:r>
              <w:t>12 tháng</w:t>
            </w:r>
          </w:p>
        </w:tc>
        <w:tc>
          <w:tcPr>
            <w:tcW w:w="804" w:type="dxa"/>
            <w:vMerge w:val="continue"/>
            <w:vAlign w:val="center"/>
          </w:tcPr>
          <w:p w14:paraId="01C63786">
            <w:pPr>
              <w:widowControl w:val="0"/>
              <w:spacing w:line="276" w:lineRule="auto"/>
            </w:pPr>
          </w:p>
        </w:tc>
        <w:tc>
          <w:tcPr>
            <w:tcW w:w="2508" w:type="dxa"/>
            <w:vMerge w:val="continue"/>
          </w:tcPr>
          <w:p w14:paraId="2C4CAF4D">
            <w:pPr>
              <w:widowControl w:val="0"/>
              <w:spacing w:line="276" w:lineRule="auto"/>
            </w:pPr>
          </w:p>
        </w:tc>
      </w:tr>
    </w:tbl>
    <w:p w14:paraId="4179EBD3">
      <w:pPr>
        <w:ind w:firstLine="720"/>
        <w:jc w:val="both"/>
        <w:rPr>
          <w:b/>
          <w:sz w:val="27"/>
          <w:szCs w:val="27"/>
        </w:rPr>
      </w:pPr>
    </w:p>
    <w:p w14:paraId="0622C943">
      <w:pPr>
        <w:ind w:firstLine="720"/>
        <w:jc w:val="both"/>
        <w:rPr>
          <w:b/>
          <w:sz w:val="27"/>
          <w:szCs w:val="27"/>
        </w:rPr>
      </w:pPr>
      <w:r>
        <w:rPr>
          <w:b/>
          <w:sz w:val="27"/>
          <w:szCs w:val="27"/>
        </w:rPr>
        <w:t>Điều 17. Các khoản chi từ nguồn thu dịch vụ phục vụ hỗ trợ hoạt động giáo dục:</w:t>
      </w:r>
    </w:p>
    <w:p w14:paraId="7F8FBDF1">
      <w:pPr>
        <w:spacing w:after="120"/>
        <w:jc w:val="both"/>
        <w:rPr>
          <w:b/>
          <w:sz w:val="27"/>
          <w:szCs w:val="27"/>
        </w:rPr>
      </w:pPr>
      <w:r>
        <w:rPr>
          <w:b/>
          <w:i/>
          <w:sz w:val="27"/>
          <w:szCs w:val="27"/>
        </w:rPr>
        <w:tab/>
      </w:r>
      <w:r>
        <w:rPr>
          <w:b/>
          <w:sz w:val="27"/>
          <w:szCs w:val="27"/>
        </w:rPr>
        <w:t>1. Tiền công thuê người nấu ăn</w:t>
      </w:r>
    </w:p>
    <w:p w14:paraId="4876C601">
      <w:pPr>
        <w:spacing w:after="120"/>
        <w:jc w:val="both"/>
        <w:rPr>
          <w:sz w:val="27"/>
          <w:szCs w:val="27"/>
        </w:rPr>
      </w:pPr>
      <w:r>
        <w:rPr>
          <w:b/>
          <w:i/>
          <w:sz w:val="27"/>
          <w:szCs w:val="27"/>
        </w:rPr>
        <w:tab/>
      </w:r>
      <w:r>
        <w:rPr>
          <w:sz w:val="27"/>
          <w:szCs w:val="27"/>
        </w:rPr>
        <w:t>- Tiền công hợp đồng cấp dưỡng nấu ăn bán trú: 3.325.000đ/người/tháng.</w:t>
      </w:r>
    </w:p>
    <w:p w14:paraId="0F96ED28">
      <w:pPr>
        <w:spacing w:after="120"/>
        <w:ind w:firstLine="720"/>
        <w:jc w:val="both"/>
        <w:rPr>
          <w:i/>
          <w:sz w:val="27"/>
          <w:szCs w:val="27"/>
        </w:rPr>
      </w:pPr>
      <w:r>
        <w:rPr>
          <w:i/>
          <w:sz w:val="27"/>
          <w:szCs w:val="27"/>
        </w:rPr>
        <w:t xml:space="preserve"> Ghi chú: Mức chi trả tiền công đối với những tháng có số ngày ăn bán trú dưới 10 ngày, căn cứ vào số thu thực tế nhà trường sẽ điều chỉnh mức chi cho phù hợp.</w:t>
      </w:r>
    </w:p>
    <w:p w14:paraId="2C14D460">
      <w:pPr>
        <w:pStyle w:val="38"/>
        <w:numPr>
          <w:ilvl w:val="0"/>
          <w:numId w:val="2"/>
        </w:numPr>
        <w:spacing w:after="120"/>
        <w:jc w:val="both"/>
        <w:rPr>
          <w:b/>
          <w:sz w:val="27"/>
          <w:szCs w:val="27"/>
        </w:rPr>
      </w:pPr>
      <w:r>
        <w:rPr>
          <w:b/>
          <w:sz w:val="27"/>
          <w:szCs w:val="27"/>
        </w:rPr>
        <w:t>Quản lý học sinh trong giờ bán trú</w:t>
      </w:r>
    </w:p>
    <w:p w14:paraId="36242D3C">
      <w:pPr>
        <w:spacing w:after="120"/>
        <w:ind w:left="720"/>
        <w:jc w:val="both"/>
        <w:rPr>
          <w:i/>
          <w:sz w:val="27"/>
          <w:szCs w:val="27"/>
        </w:rPr>
      </w:pPr>
      <w:r>
        <w:rPr>
          <w:i/>
          <w:sz w:val="27"/>
          <w:szCs w:val="27"/>
        </w:rPr>
        <w:t>Nội dung chi và mức chi cụ thể như sau:</w:t>
      </w:r>
    </w:p>
    <w:p w14:paraId="24E81FC7">
      <w:pPr>
        <w:spacing w:after="120"/>
        <w:ind w:firstLine="720"/>
        <w:jc w:val="both"/>
        <w:rPr>
          <w:sz w:val="27"/>
          <w:szCs w:val="27"/>
        </w:rPr>
      </w:pPr>
      <w:r>
        <w:rPr>
          <w:sz w:val="27"/>
          <w:szCs w:val="27"/>
        </w:rPr>
        <w:t>- Tiền chi cho giáo viên trực tiếp QLHS trong giờ bán trú: 60.000 đ/giờ.</w:t>
      </w:r>
    </w:p>
    <w:p w14:paraId="7817EBFB">
      <w:pPr>
        <w:spacing w:after="120"/>
        <w:ind w:firstLine="720"/>
        <w:jc w:val="both"/>
        <w:rPr>
          <w:sz w:val="27"/>
          <w:szCs w:val="27"/>
        </w:rPr>
      </w:pPr>
      <w:r>
        <w:rPr>
          <w:sz w:val="27"/>
          <w:szCs w:val="27"/>
        </w:rPr>
        <w:t xml:space="preserve">- Hỗ trợ quản lý bán trú ( Công tác QLHS bán trú gián tiếp): </w:t>
      </w:r>
    </w:p>
    <w:p w14:paraId="48C50274">
      <w:pPr>
        <w:spacing w:after="120"/>
        <w:ind w:firstLine="720"/>
        <w:jc w:val="both"/>
        <w:rPr>
          <w:sz w:val="27"/>
          <w:szCs w:val="27"/>
        </w:rPr>
      </w:pPr>
      <w:r>
        <w:rPr>
          <w:sz w:val="27"/>
          <w:szCs w:val="27"/>
        </w:rPr>
        <w:t>+ Hiệu trưởng: 60.000đ/giờ</w:t>
      </w:r>
    </w:p>
    <w:p w14:paraId="48FC0929">
      <w:pPr>
        <w:spacing w:after="120"/>
        <w:ind w:firstLine="720"/>
        <w:jc w:val="both"/>
        <w:rPr>
          <w:sz w:val="27"/>
          <w:szCs w:val="27"/>
        </w:rPr>
      </w:pPr>
      <w:r>
        <w:rPr>
          <w:sz w:val="27"/>
          <w:szCs w:val="27"/>
        </w:rPr>
        <w:t xml:space="preserve">+ P.Hiệu trưởng: 60.000đ/giờ </w:t>
      </w:r>
    </w:p>
    <w:p w14:paraId="07F84EC0">
      <w:pPr>
        <w:spacing w:after="120"/>
        <w:ind w:firstLine="720"/>
        <w:jc w:val="both"/>
        <w:rPr>
          <w:sz w:val="27"/>
          <w:szCs w:val="27"/>
        </w:rPr>
      </w:pPr>
      <w:r>
        <w:rPr>
          <w:sz w:val="27"/>
          <w:szCs w:val="27"/>
        </w:rPr>
        <w:t>+ Kế toán: 60.000đ/giờ</w:t>
      </w:r>
    </w:p>
    <w:p w14:paraId="5BF1E1F5">
      <w:pPr>
        <w:spacing w:after="120"/>
        <w:ind w:firstLine="720"/>
        <w:jc w:val="both"/>
        <w:rPr>
          <w:sz w:val="27"/>
          <w:szCs w:val="27"/>
        </w:rPr>
      </w:pPr>
      <w:r>
        <w:rPr>
          <w:sz w:val="27"/>
          <w:szCs w:val="27"/>
        </w:rPr>
        <w:t>+ Thủ quỹ: 60.000đ/giờ</w:t>
      </w:r>
    </w:p>
    <w:p w14:paraId="69765569">
      <w:pPr>
        <w:spacing w:after="120"/>
        <w:ind w:firstLine="720"/>
        <w:jc w:val="both"/>
        <w:rPr>
          <w:sz w:val="27"/>
          <w:szCs w:val="27"/>
        </w:rPr>
      </w:pPr>
      <w:r>
        <w:rPr>
          <w:sz w:val="27"/>
          <w:szCs w:val="27"/>
        </w:rPr>
        <w:t>+ Nhân viên phụ trách y tế ( Kiểm thực 3 bước): 60.000đ/giờ</w:t>
      </w:r>
    </w:p>
    <w:p w14:paraId="7BB77C13">
      <w:pPr>
        <w:spacing w:after="120"/>
        <w:ind w:firstLine="720"/>
        <w:jc w:val="both"/>
        <w:rPr>
          <w:i/>
          <w:sz w:val="27"/>
          <w:szCs w:val="27"/>
        </w:rPr>
      </w:pPr>
      <w:r>
        <w:rPr>
          <w:b/>
          <w:i/>
          <w:sz w:val="27"/>
          <w:szCs w:val="27"/>
        </w:rPr>
        <w:t>Ghi chú:</w:t>
      </w:r>
      <w:r>
        <w:rPr>
          <w:i/>
          <w:sz w:val="27"/>
          <w:szCs w:val="27"/>
        </w:rPr>
        <w:t xml:space="preserve"> Mức chi có thể điều chỉnh thấp hơn theo số tiền thu thực tế trong tháng trong tháng của học sinh.</w:t>
      </w:r>
    </w:p>
    <w:p w14:paraId="0EC1DF4F">
      <w:pPr>
        <w:spacing w:before="120" w:after="120"/>
        <w:rPr>
          <w:b/>
          <w:bCs/>
        </w:rPr>
      </w:pPr>
    </w:p>
    <w:p w14:paraId="3EA09258">
      <w:pPr>
        <w:spacing w:before="120" w:after="120"/>
        <w:jc w:val="center"/>
        <w:rPr>
          <w:b/>
          <w:bCs/>
        </w:rPr>
      </w:pPr>
      <w:r>
        <w:rPr>
          <w:b/>
          <w:bCs/>
        </w:rPr>
        <w:t>Chương III: TỔ CHỨC THỰC HIỆN</w:t>
      </w:r>
    </w:p>
    <w:p w14:paraId="311B2019">
      <w:pPr>
        <w:spacing w:before="120"/>
        <w:ind w:firstLine="289"/>
        <w:jc w:val="both"/>
      </w:pPr>
      <w:r>
        <w:rPr>
          <w:b/>
          <w:bCs/>
        </w:rPr>
        <w:tab/>
      </w:r>
      <w:r>
        <w:t>1. Dự thảo giữa Ban giám hiệu, Chủ tịch Công đoàn, kế toán. Thông qua thảo luận, thống nhất trong hội nghị CBVC nhà trường.</w:t>
      </w:r>
    </w:p>
    <w:p w14:paraId="78AB28A9">
      <w:pPr>
        <w:spacing w:before="120"/>
        <w:ind w:firstLine="289"/>
        <w:jc w:val="both"/>
      </w:pPr>
      <w:r>
        <w:tab/>
      </w:r>
      <w:r>
        <w:t>2. Cán bộ, giáo viên, nhân viên, người lao động trong nhà trường có trách nhiệm thực hiện đúng quy chế chi tiêu nội bộ năm 202</w:t>
      </w:r>
      <w:r>
        <w:rPr>
          <w:rFonts w:hint="default"/>
          <w:lang w:val="en-US"/>
        </w:rPr>
        <w:t>5</w:t>
      </w:r>
      <w:r>
        <w:t>.</w:t>
      </w:r>
    </w:p>
    <w:p w14:paraId="5943C378">
      <w:pPr>
        <w:spacing w:before="120"/>
        <w:ind w:firstLine="289"/>
        <w:jc w:val="both"/>
      </w:pPr>
      <w:r>
        <w:tab/>
      </w:r>
      <w:r>
        <w:t>3. Gửi Kho bạc Nhà nước nơi đơn vị mở tài khoản làm căn cứ kiểm soát chi, gửi phòng Tài chính - Kế hoạch, phòng Giáo dục và Đào tạo huyện Tiên Yên kiểm tra chế độ quy định.</w:t>
      </w:r>
    </w:p>
    <w:p w14:paraId="17AEB7F9">
      <w:pPr>
        <w:spacing w:before="120"/>
        <w:ind w:firstLine="289"/>
        <w:jc w:val="both"/>
      </w:pPr>
      <w:r>
        <w:tab/>
      </w:r>
      <w:r>
        <w:t xml:space="preserve">4. Thực hiện quy chế từ </w:t>
      </w:r>
      <w:r>
        <w:rPr>
          <w:color w:val="000000"/>
        </w:rPr>
        <w:t>ngày 01/0</w:t>
      </w:r>
      <w:r>
        <w:rPr>
          <w:rFonts w:hint="default"/>
          <w:color w:val="000000"/>
          <w:lang w:val="en-US"/>
        </w:rPr>
        <w:t>1</w:t>
      </w:r>
      <w:r>
        <w:rPr>
          <w:color w:val="000000"/>
        </w:rPr>
        <w:t>/202</w:t>
      </w:r>
      <w:r>
        <w:rPr>
          <w:rFonts w:hint="default"/>
          <w:color w:val="000000"/>
          <w:lang w:val="en-US"/>
        </w:rPr>
        <w:t>5</w:t>
      </w:r>
      <w:r>
        <w:rPr>
          <w:color w:val="000000"/>
        </w:rPr>
        <w:t xml:space="preserve"> đến hết ngày 31/12/202</w:t>
      </w:r>
      <w:r>
        <w:rPr>
          <w:rFonts w:hint="default"/>
          <w:color w:val="000000"/>
          <w:lang w:val="en-US"/>
        </w:rPr>
        <w:t>5</w:t>
      </w:r>
      <w:r>
        <w:t xml:space="preserve">. Trong quá trình thực hiện nếu không phù hợp thì Ban giám hiệu, BCH Công đoàn điều chỉnh quy chế cho phù hợp với tình </w:t>
      </w:r>
      <w:bookmarkStart w:id="2" w:name="_GoBack"/>
      <w:bookmarkEnd w:id="2"/>
      <w:r>
        <w:t>hình thực tế. Văn bản điều chỉnh được thông qua hội đồng nhà trường và báo cáo các cấp quản lý.</w:t>
      </w:r>
    </w:p>
    <w:p w14:paraId="24D49C15">
      <w:pPr>
        <w:spacing w:before="120"/>
        <w:ind w:firstLine="289"/>
        <w:jc w:val="both"/>
        <w:rPr>
          <w:spacing w:val="-14"/>
        </w:rPr>
      </w:pPr>
      <w:r>
        <w:rPr>
          <w:spacing w:val="-14"/>
        </w:rPr>
        <w:tab/>
      </w:r>
      <w:r>
        <w:rPr>
          <w:spacing w:val="-14"/>
        </w:rPr>
        <w:t>5. Công khai việc thực hiện quy chế chi tiêu nội bộ trong các hoạt động nhà trường.</w:t>
      </w:r>
    </w:p>
    <w:p w14:paraId="0B749631">
      <w:pPr>
        <w:spacing w:before="120"/>
        <w:ind w:firstLine="289"/>
        <w:jc w:val="both"/>
      </w:pPr>
      <w:r>
        <w:tab/>
      </w:r>
      <w:r>
        <w:t>6. Ban chấp hành Công đoàn kết hợp với ban thanh tra nhân dân giám sát việc thực hiện Quy chế chi tiêu nội bộ./.</w:t>
      </w:r>
    </w:p>
    <w:p w14:paraId="12B290FF">
      <w:pPr>
        <w:ind w:firstLine="289"/>
        <w:jc w:val="both"/>
      </w:pPr>
    </w:p>
    <w:tbl>
      <w:tblPr>
        <w:tblStyle w:val="9"/>
        <w:tblW w:w="9072" w:type="dxa"/>
        <w:tblInd w:w="2" w:type="dxa"/>
        <w:tblLayout w:type="fixed"/>
        <w:tblCellMar>
          <w:top w:w="0" w:type="dxa"/>
          <w:left w:w="115" w:type="dxa"/>
          <w:bottom w:w="0" w:type="dxa"/>
          <w:right w:w="115" w:type="dxa"/>
        </w:tblCellMar>
      </w:tblPr>
      <w:tblGrid>
        <w:gridCol w:w="5245"/>
        <w:gridCol w:w="3827"/>
      </w:tblGrid>
      <w:tr w14:paraId="586899AB">
        <w:tblPrEx>
          <w:tblCellMar>
            <w:top w:w="0" w:type="dxa"/>
            <w:left w:w="115" w:type="dxa"/>
            <w:bottom w:w="0" w:type="dxa"/>
            <w:right w:w="115" w:type="dxa"/>
          </w:tblCellMar>
        </w:tblPrEx>
        <w:trPr>
          <w:trHeight w:val="290" w:hRule="atLeast"/>
        </w:trPr>
        <w:tc>
          <w:tcPr>
            <w:tcW w:w="5245" w:type="dxa"/>
          </w:tcPr>
          <w:p w14:paraId="67714D24">
            <w:pPr>
              <w:jc w:val="center"/>
              <w:rPr>
                <w:b/>
                <w:bCs/>
              </w:rPr>
            </w:pPr>
            <w:r>
              <w:rPr>
                <w:b/>
                <w:bCs/>
              </w:rPr>
              <w:t>T/M BCH CÔNG ĐOÀN</w:t>
            </w:r>
          </w:p>
          <w:p w14:paraId="00A95B5D">
            <w:pPr>
              <w:jc w:val="center"/>
              <w:rPr>
                <w:b/>
                <w:bCs/>
              </w:rPr>
            </w:pPr>
            <w:r>
              <w:rPr>
                <w:b/>
                <w:bCs/>
              </w:rPr>
              <w:t>CHỦ TỊCH</w:t>
            </w:r>
          </w:p>
        </w:tc>
        <w:tc>
          <w:tcPr>
            <w:tcW w:w="3827" w:type="dxa"/>
          </w:tcPr>
          <w:p w14:paraId="7C22A6DE">
            <w:pPr>
              <w:jc w:val="center"/>
              <w:rPr>
                <w:b/>
                <w:bCs/>
              </w:rPr>
            </w:pPr>
            <w:r>
              <w:rPr>
                <w:b/>
                <w:bCs/>
              </w:rPr>
              <w:t>THỦ TRƯỞNG ĐƠN VỊ</w:t>
            </w:r>
          </w:p>
        </w:tc>
      </w:tr>
      <w:tr w14:paraId="1CA7A83C">
        <w:tblPrEx>
          <w:tblCellMar>
            <w:top w:w="0" w:type="dxa"/>
            <w:left w:w="115" w:type="dxa"/>
            <w:bottom w:w="0" w:type="dxa"/>
            <w:right w:w="115" w:type="dxa"/>
          </w:tblCellMar>
        </w:tblPrEx>
        <w:trPr>
          <w:trHeight w:val="511" w:hRule="atLeast"/>
        </w:trPr>
        <w:tc>
          <w:tcPr>
            <w:tcW w:w="5245" w:type="dxa"/>
          </w:tcPr>
          <w:p w14:paraId="3FDC26A3">
            <w:pPr>
              <w:rPr>
                <w:b/>
                <w:bCs/>
              </w:rPr>
            </w:pPr>
          </w:p>
          <w:p w14:paraId="7BC31C2B">
            <w:pPr>
              <w:jc w:val="center"/>
              <w:rPr>
                <w:b/>
                <w:bCs/>
              </w:rPr>
            </w:pPr>
          </w:p>
          <w:p w14:paraId="05017918">
            <w:pPr>
              <w:jc w:val="center"/>
              <w:rPr>
                <w:b/>
                <w:bCs/>
              </w:rPr>
            </w:pPr>
          </w:p>
          <w:p w14:paraId="6EDEB6D1">
            <w:pPr>
              <w:jc w:val="center"/>
              <w:rPr>
                <w:b/>
                <w:bCs/>
              </w:rPr>
            </w:pPr>
          </w:p>
          <w:p w14:paraId="071C9F7A">
            <w:pPr>
              <w:jc w:val="center"/>
              <w:rPr>
                <w:b/>
                <w:bCs/>
              </w:rPr>
            </w:pPr>
          </w:p>
          <w:p w14:paraId="701EB68D">
            <w:pPr>
              <w:rPr>
                <w:b/>
                <w:bCs/>
              </w:rPr>
            </w:pPr>
            <w:r>
              <w:rPr>
                <w:b/>
                <w:bCs/>
              </w:rPr>
              <w:t xml:space="preserve">                    Phạm Hồng Chuyên</w:t>
            </w:r>
          </w:p>
        </w:tc>
        <w:tc>
          <w:tcPr>
            <w:tcW w:w="3827" w:type="dxa"/>
          </w:tcPr>
          <w:p w14:paraId="654E3801">
            <w:pPr>
              <w:jc w:val="center"/>
              <w:rPr>
                <w:b/>
                <w:bCs/>
              </w:rPr>
            </w:pPr>
          </w:p>
          <w:p w14:paraId="04C77714">
            <w:pPr>
              <w:jc w:val="center"/>
              <w:rPr>
                <w:b/>
                <w:bCs/>
              </w:rPr>
            </w:pPr>
          </w:p>
          <w:p w14:paraId="732FDF47">
            <w:pPr>
              <w:jc w:val="center"/>
              <w:rPr>
                <w:b/>
                <w:bCs/>
              </w:rPr>
            </w:pPr>
          </w:p>
          <w:p w14:paraId="6219BB5C">
            <w:pPr>
              <w:jc w:val="center"/>
              <w:rPr>
                <w:b/>
                <w:bCs/>
              </w:rPr>
            </w:pPr>
          </w:p>
          <w:p w14:paraId="6ED4F44E">
            <w:pPr>
              <w:jc w:val="center"/>
              <w:rPr>
                <w:b/>
                <w:bCs/>
              </w:rPr>
            </w:pPr>
          </w:p>
          <w:p w14:paraId="0E959CA9">
            <w:pPr>
              <w:rPr>
                <w:b/>
                <w:bCs/>
              </w:rPr>
            </w:pPr>
            <w:r>
              <w:rPr>
                <w:b/>
                <w:bCs/>
              </w:rPr>
              <w:t xml:space="preserve">       Nguyễn Mai Khanh</w:t>
            </w:r>
          </w:p>
        </w:tc>
      </w:tr>
    </w:tbl>
    <w:p w14:paraId="66EDB90C"/>
    <w:p w14:paraId="48E0E47D">
      <w:pPr>
        <w:spacing w:before="120" w:after="120"/>
        <w:ind w:firstLine="397"/>
        <w:jc w:val="both"/>
      </w:pPr>
    </w:p>
    <w:p w14:paraId="76AA7529"/>
    <w:p w14:paraId="045D995D"/>
    <w:p w14:paraId="15D134D1"/>
    <w:p w14:paraId="15E3F9F7"/>
    <w:p w14:paraId="65F92982"/>
    <w:p w14:paraId="22BA4395"/>
    <w:p w14:paraId="5EBF7F6C"/>
    <w:p w14:paraId="73883955"/>
    <w:p w14:paraId="4C0C6FAF"/>
    <w:p w14:paraId="14256584"/>
    <w:p w14:paraId="79B443BA"/>
    <w:p w14:paraId="1397416A"/>
    <w:p w14:paraId="2CB54950"/>
    <w:p w14:paraId="41CA58AE"/>
    <w:p w14:paraId="0AB8E428"/>
    <w:p w14:paraId="721576F2"/>
    <w:p w14:paraId="3C810665"/>
    <w:p w14:paraId="3CDF1A7F"/>
    <w:p w14:paraId="560850C1"/>
    <w:p w14:paraId="180ED50E"/>
    <w:p w14:paraId="0C1044DE"/>
    <w:p w14:paraId="672EB6C3"/>
    <w:sectPr>
      <w:headerReference r:id="rId4" w:type="first"/>
      <w:footerReference r:id="rId6" w:type="first"/>
      <w:headerReference r:id="rId3" w:type="default"/>
      <w:footerReference r:id="rId5" w:type="default"/>
      <w:pgSz w:w="11907" w:h="16840"/>
      <w:pgMar w:top="964" w:right="1134" w:bottom="851" w:left="1701" w:header="284" w:footer="720" w:gutter="0"/>
      <w:pgNumType w:start="1" w:chapStyle="4"/>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 news roman">
    <w:altName w:val="Times New Roman"/>
    <w:panose1 w:val="00000000000000000000"/>
    <w:charset w:val="00"/>
    <w:family w:val="roman"/>
    <w:pitch w:val="default"/>
    <w:sig w:usb0="00000000" w:usb1="00000000" w:usb2="00000000" w:usb3="00000000" w:csb0="00000000" w:csb1="00000000"/>
  </w:font>
  <w:font w:name="NotoSerif">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214003"/>
      <w:docPartObj>
        <w:docPartGallery w:val="autotext"/>
      </w:docPartObj>
    </w:sdtPr>
    <w:sdtContent>
      <w:p w14:paraId="0F9D003B">
        <w:pPr>
          <w:pStyle w:val="12"/>
          <w:jc w:val="center"/>
        </w:pPr>
        <w:r>
          <w:fldChar w:fldCharType="begin"/>
        </w:r>
        <w:r>
          <w:instrText xml:space="preserve"> PAGE   \* MERGEFORMAT </w:instrText>
        </w:r>
        <w:r>
          <w:fldChar w:fldCharType="separate"/>
        </w:r>
        <w:r>
          <w:t>2</w:t>
        </w:r>
        <w:r>
          <w:fldChar w:fldCharType="end"/>
        </w:r>
      </w:p>
    </w:sdtContent>
  </w:sdt>
  <w:p w14:paraId="33F17AC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4845">
    <w:pPr>
      <w:pStyle w:val="12"/>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2C3A">
    <w:pPr>
      <w:pStyle w:val="13"/>
      <w:jc w:val="center"/>
    </w:pPr>
  </w:p>
  <w:p w14:paraId="3D34A513">
    <w:pPr>
      <w:pStyle w:val="13"/>
      <w:jc w:val="center"/>
    </w:pPr>
  </w:p>
  <w:p w14:paraId="48E01F2E">
    <w:pPr>
      <w:pStyle w:val="13"/>
      <w:jc w:val="center"/>
    </w:pPr>
  </w:p>
  <w:p w14:paraId="32207015">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D51F">
    <w:pPr>
      <w:pStyle w:val="13"/>
      <w:jc w:val="center"/>
    </w:pPr>
  </w:p>
  <w:p w14:paraId="3E7B5586">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3184"/>
    <w:multiLevelType w:val="multilevel"/>
    <w:tmpl w:val="3FEA3184"/>
    <w:lvl w:ilvl="0" w:tentative="0">
      <w:start w:val="1"/>
      <w:numFmt w:val="decimal"/>
      <w:lvlText w:val="%1."/>
      <w:lvlJc w:val="left"/>
      <w:pPr>
        <w:ind w:left="1080" w:hanging="360"/>
      </w:pPr>
      <w:rPr>
        <w:i w:val="0"/>
        <w:i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CC86112"/>
    <w:multiLevelType w:val="multilevel"/>
    <w:tmpl w:val="4CC86112"/>
    <w:lvl w:ilvl="0" w:tentative="0">
      <w:start w:val="1"/>
      <w:numFmt w:val="decimal"/>
      <w:lvlText w:val="%1."/>
      <w:lvlJc w:val="left"/>
      <w:pPr>
        <w:ind w:left="1077" w:hanging="360"/>
      </w:pPr>
      <w:rPr>
        <w:rFonts w:hint="default"/>
      </w:rPr>
    </w:lvl>
    <w:lvl w:ilvl="1" w:tentative="0">
      <w:start w:val="1"/>
      <w:numFmt w:val="lowerLetter"/>
      <w:lvlText w:val="%2."/>
      <w:lvlJc w:val="left"/>
      <w:pPr>
        <w:ind w:left="1797" w:hanging="360"/>
      </w:pPr>
    </w:lvl>
    <w:lvl w:ilvl="2" w:tentative="0">
      <w:start w:val="1"/>
      <w:numFmt w:val="lowerRoman"/>
      <w:lvlText w:val="%3."/>
      <w:lvlJc w:val="right"/>
      <w:pPr>
        <w:ind w:left="2517" w:hanging="180"/>
      </w:pPr>
    </w:lvl>
    <w:lvl w:ilvl="3" w:tentative="0">
      <w:start w:val="1"/>
      <w:numFmt w:val="decimal"/>
      <w:lvlText w:val="%4."/>
      <w:lvlJc w:val="left"/>
      <w:pPr>
        <w:ind w:left="3237" w:hanging="360"/>
      </w:pPr>
    </w:lvl>
    <w:lvl w:ilvl="4" w:tentative="0">
      <w:start w:val="1"/>
      <w:numFmt w:val="lowerLetter"/>
      <w:lvlText w:val="%5."/>
      <w:lvlJc w:val="left"/>
      <w:pPr>
        <w:ind w:left="3957" w:hanging="360"/>
      </w:pPr>
    </w:lvl>
    <w:lvl w:ilvl="5" w:tentative="0">
      <w:start w:val="1"/>
      <w:numFmt w:val="lowerRoman"/>
      <w:lvlText w:val="%6."/>
      <w:lvlJc w:val="right"/>
      <w:pPr>
        <w:ind w:left="4677" w:hanging="180"/>
      </w:pPr>
    </w:lvl>
    <w:lvl w:ilvl="6" w:tentative="0">
      <w:start w:val="1"/>
      <w:numFmt w:val="decimal"/>
      <w:lvlText w:val="%7."/>
      <w:lvlJc w:val="left"/>
      <w:pPr>
        <w:ind w:left="5397" w:hanging="360"/>
      </w:pPr>
    </w:lvl>
    <w:lvl w:ilvl="7" w:tentative="0">
      <w:start w:val="1"/>
      <w:numFmt w:val="lowerLetter"/>
      <w:lvlText w:val="%8."/>
      <w:lvlJc w:val="left"/>
      <w:pPr>
        <w:ind w:left="6117" w:hanging="360"/>
      </w:pPr>
    </w:lvl>
    <w:lvl w:ilvl="8" w:tentative="0">
      <w:start w:val="1"/>
      <w:numFmt w:val="lowerRoman"/>
      <w:lvlText w:val="%9."/>
      <w:lvlJc w:val="right"/>
      <w:pPr>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45"/>
    <w:rsid w:val="00000133"/>
    <w:rsid w:val="00000EED"/>
    <w:rsid w:val="0000434C"/>
    <w:rsid w:val="000057D0"/>
    <w:rsid w:val="00014787"/>
    <w:rsid w:val="00023879"/>
    <w:rsid w:val="00034BBE"/>
    <w:rsid w:val="00035095"/>
    <w:rsid w:val="0005380A"/>
    <w:rsid w:val="00055C13"/>
    <w:rsid w:val="00057467"/>
    <w:rsid w:val="00071652"/>
    <w:rsid w:val="00082591"/>
    <w:rsid w:val="00083B31"/>
    <w:rsid w:val="000853F0"/>
    <w:rsid w:val="00086365"/>
    <w:rsid w:val="00091087"/>
    <w:rsid w:val="000A6315"/>
    <w:rsid w:val="000A675E"/>
    <w:rsid w:val="000B2989"/>
    <w:rsid w:val="000B4DB3"/>
    <w:rsid w:val="000B7AD3"/>
    <w:rsid w:val="000D4671"/>
    <w:rsid w:val="000D52B4"/>
    <w:rsid w:val="0010698E"/>
    <w:rsid w:val="00111978"/>
    <w:rsid w:val="0011394B"/>
    <w:rsid w:val="0012546E"/>
    <w:rsid w:val="00126CD2"/>
    <w:rsid w:val="001354B0"/>
    <w:rsid w:val="00145817"/>
    <w:rsid w:val="00151907"/>
    <w:rsid w:val="00171CBD"/>
    <w:rsid w:val="0018672E"/>
    <w:rsid w:val="001936E5"/>
    <w:rsid w:val="001A0A70"/>
    <w:rsid w:val="001B7210"/>
    <w:rsid w:val="001C2C9F"/>
    <w:rsid w:val="001C6981"/>
    <w:rsid w:val="001C6AC3"/>
    <w:rsid w:val="001D0385"/>
    <w:rsid w:val="001E0AED"/>
    <w:rsid w:val="001F00F0"/>
    <w:rsid w:val="002037A5"/>
    <w:rsid w:val="00210D85"/>
    <w:rsid w:val="00244274"/>
    <w:rsid w:val="00262B54"/>
    <w:rsid w:val="002700FB"/>
    <w:rsid w:val="00271D07"/>
    <w:rsid w:val="00277450"/>
    <w:rsid w:val="00282591"/>
    <w:rsid w:val="002839C1"/>
    <w:rsid w:val="00290B07"/>
    <w:rsid w:val="00290C8E"/>
    <w:rsid w:val="002942A5"/>
    <w:rsid w:val="00296054"/>
    <w:rsid w:val="002A046F"/>
    <w:rsid w:val="002A15AE"/>
    <w:rsid w:val="002A3C05"/>
    <w:rsid w:val="002C246B"/>
    <w:rsid w:val="002C4170"/>
    <w:rsid w:val="002C58F4"/>
    <w:rsid w:val="002D4BA1"/>
    <w:rsid w:val="002D6CE1"/>
    <w:rsid w:val="002F3B6D"/>
    <w:rsid w:val="002F50E5"/>
    <w:rsid w:val="002F5967"/>
    <w:rsid w:val="00302B13"/>
    <w:rsid w:val="00315F22"/>
    <w:rsid w:val="00321974"/>
    <w:rsid w:val="0032398B"/>
    <w:rsid w:val="003301F1"/>
    <w:rsid w:val="003333F3"/>
    <w:rsid w:val="003358F5"/>
    <w:rsid w:val="00343238"/>
    <w:rsid w:val="0035077E"/>
    <w:rsid w:val="003649E0"/>
    <w:rsid w:val="003664AC"/>
    <w:rsid w:val="003674C9"/>
    <w:rsid w:val="003A1715"/>
    <w:rsid w:val="003A54F9"/>
    <w:rsid w:val="003A6C50"/>
    <w:rsid w:val="003B097E"/>
    <w:rsid w:val="003B1296"/>
    <w:rsid w:val="003C3C0B"/>
    <w:rsid w:val="003C495A"/>
    <w:rsid w:val="003D13DD"/>
    <w:rsid w:val="003D1A9F"/>
    <w:rsid w:val="003D3E29"/>
    <w:rsid w:val="003E1BAD"/>
    <w:rsid w:val="003F0A0B"/>
    <w:rsid w:val="0042327A"/>
    <w:rsid w:val="004263C6"/>
    <w:rsid w:val="00430B6C"/>
    <w:rsid w:val="004463E3"/>
    <w:rsid w:val="00450270"/>
    <w:rsid w:val="00457393"/>
    <w:rsid w:val="00462B2F"/>
    <w:rsid w:val="0046344D"/>
    <w:rsid w:val="00464E5E"/>
    <w:rsid w:val="00476356"/>
    <w:rsid w:val="004A4B92"/>
    <w:rsid w:val="004B172D"/>
    <w:rsid w:val="004C3ED2"/>
    <w:rsid w:val="004C5706"/>
    <w:rsid w:val="004D2ADC"/>
    <w:rsid w:val="004D51A8"/>
    <w:rsid w:val="004E07D7"/>
    <w:rsid w:val="0051152D"/>
    <w:rsid w:val="005166F3"/>
    <w:rsid w:val="00526A8C"/>
    <w:rsid w:val="00530B83"/>
    <w:rsid w:val="0054002B"/>
    <w:rsid w:val="00547CF5"/>
    <w:rsid w:val="00555024"/>
    <w:rsid w:val="00563A24"/>
    <w:rsid w:val="00571B78"/>
    <w:rsid w:val="005834C0"/>
    <w:rsid w:val="00592F55"/>
    <w:rsid w:val="005A1CD4"/>
    <w:rsid w:val="005D184D"/>
    <w:rsid w:val="005D7881"/>
    <w:rsid w:val="005F06FD"/>
    <w:rsid w:val="005F31B4"/>
    <w:rsid w:val="00616573"/>
    <w:rsid w:val="00617D43"/>
    <w:rsid w:val="00622986"/>
    <w:rsid w:val="00640CDD"/>
    <w:rsid w:val="00644B1A"/>
    <w:rsid w:val="00657232"/>
    <w:rsid w:val="00665A40"/>
    <w:rsid w:val="0067064C"/>
    <w:rsid w:val="006735D9"/>
    <w:rsid w:val="00677387"/>
    <w:rsid w:val="006813E3"/>
    <w:rsid w:val="0069541A"/>
    <w:rsid w:val="006A6FB0"/>
    <w:rsid w:val="006C4006"/>
    <w:rsid w:val="006C524D"/>
    <w:rsid w:val="006D6B10"/>
    <w:rsid w:val="006E2FB4"/>
    <w:rsid w:val="007032C3"/>
    <w:rsid w:val="00720441"/>
    <w:rsid w:val="0072122E"/>
    <w:rsid w:val="0073739F"/>
    <w:rsid w:val="00737A17"/>
    <w:rsid w:val="00740093"/>
    <w:rsid w:val="00741376"/>
    <w:rsid w:val="007414A6"/>
    <w:rsid w:val="00746C6A"/>
    <w:rsid w:val="0076119B"/>
    <w:rsid w:val="007621CF"/>
    <w:rsid w:val="00764010"/>
    <w:rsid w:val="00764C5A"/>
    <w:rsid w:val="0077116F"/>
    <w:rsid w:val="00771409"/>
    <w:rsid w:val="00774315"/>
    <w:rsid w:val="00776631"/>
    <w:rsid w:val="00781F24"/>
    <w:rsid w:val="00786C59"/>
    <w:rsid w:val="00793946"/>
    <w:rsid w:val="007952E5"/>
    <w:rsid w:val="007967DC"/>
    <w:rsid w:val="0079789E"/>
    <w:rsid w:val="007A0C9E"/>
    <w:rsid w:val="007B2491"/>
    <w:rsid w:val="007B6046"/>
    <w:rsid w:val="007E14EF"/>
    <w:rsid w:val="007F095C"/>
    <w:rsid w:val="00802B3E"/>
    <w:rsid w:val="00803545"/>
    <w:rsid w:val="008066F3"/>
    <w:rsid w:val="008110E7"/>
    <w:rsid w:val="008305C7"/>
    <w:rsid w:val="00833189"/>
    <w:rsid w:val="008427A1"/>
    <w:rsid w:val="00843689"/>
    <w:rsid w:val="00844631"/>
    <w:rsid w:val="0084574E"/>
    <w:rsid w:val="00856C9B"/>
    <w:rsid w:val="00856E8F"/>
    <w:rsid w:val="00860E83"/>
    <w:rsid w:val="00867263"/>
    <w:rsid w:val="00870BC6"/>
    <w:rsid w:val="00897F9A"/>
    <w:rsid w:val="008A6D1C"/>
    <w:rsid w:val="008A7346"/>
    <w:rsid w:val="008B0F42"/>
    <w:rsid w:val="008B1DB6"/>
    <w:rsid w:val="008B5BEC"/>
    <w:rsid w:val="008C70F8"/>
    <w:rsid w:val="008D28F2"/>
    <w:rsid w:val="008D69E3"/>
    <w:rsid w:val="008E6289"/>
    <w:rsid w:val="008F6A7B"/>
    <w:rsid w:val="009022AB"/>
    <w:rsid w:val="00904E8D"/>
    <w:rsid w:val="009144F3"/>
    <w:rsid w:val="00917031"/>
    <w:rsid w:val="00924001"/>
    <w:rsid w:val="00935AFE"/>
    <w:rsid w:val="00950042"/>
    <w:rsid w:val="00954084"/>
    <w:rsid w:val="00967F72"/>
    <w:rsid w:val="00982FAA"/>
    <w:rsid w:val="00992594"/>
    <w:rsid w:val="00993617"/>
    <w:rsid w:val="0099770D"/>
    <w:rsid w:val="009A1880"/>
    <w:rsid w:val="009A7F6B"/>
    <w:rsid w:val="009B7A0C"/>
    <w:rsid w:val="009D7DB2"/>
    <w:rsid w:val="009E6180"/>
    <w:rsid w:val="009F4297"/>
    <w:rsid w:val="009F5622"/>
    <w:rsid w:val="00A22605"/>
    <w:rsid w:val="00A233CB"/>
    <w:rsid w:val="00A23796"/>
    <w:rsid w:val="00A279B5"/>
    <w:rsid w:val="00A35C22"/>
    <w:rsid w:val="00A35E1B"/>
    <w:rsid w:val="00A56F36"/>
    <w:rsid w:val="00A60DC7"/>
    <w:rsid w:val="00A6482F"/>
    <w:rsid w:val="00A66731"/>
    <w:rsid w:val="00A66A81"/>
    <w:rsid w:val="00A71690"/>
    <w:rsid w:val="00A8210D"/>
    <w:rsid w:val="00AA0863"/>
    <w:rsid w:val="00AA0929"/>
    <w:rsid w:val="00AA59EC"/>
    <w:rsid w:val="00AB4522"/>
    <w:rsid w:val="00AC2C4A"/>
    <w:rsid w:val="00AD6952"/>
    <w:rsid w:val="00B02BCC"/>
    <w:rsid w:val="00B12C5D"/>
    <w:rsid w:val="00B15269"/>
    <w:rsid w:val="00B21B8B"/>
    <w:rsid w:val="00B23394"/>
    <w:rsid w:val="00B26E96"/>
    <w:rsid w:val="00B303FA"/>
    <w:rsid w:val="00B30DBD"/>
    <w:rsid w:val="00B32D71"/>
    <w:rsid w:val="00B361FA"/>
    <w:rsid w:val="00B432DB"/>
    <w:rsid w:val="00B458E2"/>
    <w:rsid w:val="00B563F3"/>
    <w:rsid w:val="00B65B50"/>
    <w:rsid w:val="00B66EC1"/>
    <w:rsid w:val="00B73A5B"/>
    <w:rsid w:val="00B73C15"/>
    <w:rsid w:val="00B807CC"/>
    <w:rsid w:val="00B96749"/>
    <w:rsid w:val="00B96C23"/>
    <w:rsid w:val="00BA2FB1"/>
    <w:rsid w:val="00BB44EA"/>
    <w:rsid w:val="00BC6916"/>
    <w:rsid w:val="00BE1047"/>
    <w:rsid w:val="00BE6626"/>
    <w:rsid w:val="00BF4A89"/>
    <w:rsid w:val="00BF7979"/>
    <w:rsid w:val="00C12CFE"/>
    <w:rsid w:val="00C14D16"/>
    <w:rsid w:val="00C24CB5"/>
    <w:rsid w:val="00C2724E"/>
    <w:rsid w:val="00C315BF"/>
    <w:rsid w:val="00C36B75"/>
    <w:rsid w:val="00C4290B"/>
    <w:rsid w:val="00C44536"/>
    <w:rsid w:val="00C53B85"/>
    <w:rsid w:val="00C569E2"/>
    <w:rsid w:val="00C81DD7"/>
    <w:rsid w:val="00C83C69"/>
    <w:rsid w:val="00CC6CB5"/>
    <w:rsid w:val="00CD3C09"/>
    <w:rsid w:val="00CF1F25"/>
    <w:rsid w:val="00CF2CB9"/>
    <w:rsid w:val="00D04C2F"/>
    <w:rsid w:val="00D14542"/>
    <w:rsid w:val="00D17F86"/>
    <w:rsid w:val="00D24360"/>
    <w:rsid w:val="00D24B05"/>
    <w:rsid w:val="00D30A29"/>
    <w:rsid w:val="00D33A3B"/>
    <w:rsid w:val="00D37630"/>
    <w:rsid w:val="00D42438"/>
    <w:rsid w:val="00D51293"/>
    <w:rsid w:val="00D64B20"/>
    <w:rsid w:val="00DA0057"/>
    <w:rsid w:val="00DA0E92"/>
    <w:rsid w:val="00DA3D8D"/>
    <w:rsid w:val="00DB669A"/>
    <w:rsid w:val="00DC537B"/>
    <w:rsid w:val="00DD324B"/>
    <w:rsid w:val="00DD32CD"/>
    <w:rsid w:val="00DE0760"/>
    <w:rsid w:val="00DE2442"/>
    <w:rsid w:val="00DE3E72"/>
    <w:rsid w:val="00DE6F84"/>
    <w:rsid w:val="00E0216B"/>
    <w:rsid w:val="00E03B7E"/>
    <w:rsid w:val="00E03C13"/>
    <w:rsid w:val="00E04C26"/>
    <w:rsid w:val="00E04CBB"/>
    <w:rsid w:val="00E16281"/>
    <w:rsid w:val="00E23B7A"/>
    <w:rsid w:val="00E27F91"/>
    <w:rsid w:val="00E447CE"/>
    <w:rsid w:val="00E6228C"/>
    <w:rsid w:val="00E73704"/>
    <w:rsid w:val="00E75D87"/>
    <w:rsid w:val="00E80C3E"/>
    <w:rsid w:val="00E921F7"/>
    <w:rsid w:val="00E92FD9"/>
    <w:rsid w:val="00EA61AF"/>
    <w:rsid w:val="00EA73E1"/>
    <w:rsid w:val="00EB3508"/>
    <w:rsid w:val="00EB48DA"/>
    <w:rsid w:val="00EE5499"/>
    <w:rsid w:val="00EF1A12"/>
    <w:rsid w:val="00F00903"/>
    <w:rsid w:val="00F129AA"/>
    <w:rsid w:val="00F131EF"/>
    <w:rsid w:val="00F16593"/>
    <w:rsid w:val="00F2751A"/>
    <w:rsid w:val="00F407F7"/>
    <w:rsid w:val="00F55505"/>
    <w:rsid w:val="00F57465"/>
    <w:rsid w:val="00F8311F"/>
    <w:rsid w:val="00F83922"/>
    <w:rsid w:val="00FB3D73"/>
    <w:rsid w:val="00FB4E60"/>
    <w:rsid w:val="00FD4C20"/>
    <w:rsid w:val="00FD78C2"/>
    <w:rsid w:val="00FE0C5D"/>
    <w:rsid w:val="07323608"/>
    <w:rsid w:val="2A011493"/>
    <w:rsid w:val="2A074D01"/>
    <w:rsid w:val="438A64CA"/>
    <w:rsid w:val="4AE33CF1"/>
    <w:rsid w:val="4F7C742A"/>
    <w:rsid w:val="549E4E47"/>
    <w:rsid w:val="5B4F04D4"/>
    <w:rsid w:val="5F54360F"/>
    <w:rsid w:val="609B4756"/>
    <w:rsid w:val="7A8D7FE1"/>
    <w:rsid w:val="7B904470"/>
    <w:rsid w:val="7FE504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21"/>
    <w:qFormat/>
    <w:uiPriority w:val="99"/>
    <w:pPr>
      <w:keepNext/>
      <w:keepLines/>
      <w:spacing w:before="480" w:after="120"/>
      <w:outlineLvl w:val="0"/>
    </w:pPr>
    <w:rPr>
      <w:b/>
      <w:bCs/>
      <w:sz w:val="48"/>
      <w:szCs w:val="48"/>
    </w:rPr>
  </w:style>
  <w:style w:type="paragraph" w:styleId="3">
    <w:name w:val="heading 2"/>
    <w:basedOn w:val="1"/>
    <w:next w:val="1"/>
    <w:link w:val="22"/>
    <w:qFormat/>
    <w:uiPriority w:val="99"/>
    <w:pPr>
      <w:keepNext/>
      <w:keepLines/>
      <w:spacing w:before="360" w:after="80"/>
      <w:outlineLvl w:val="1"/>
    </w:pPr>
    <w:rPr>
      <w:b/>
      <w:bCs/>
      <w:sz w:val="36"/>
      <w:szCs w:val="36"/>
    </w:rPr>
  </w:style>
  <w:style w:type="paragraph" w:styleId="4">
    <w:name w:val="heading 3"/>
    <w:basedOn w:val="1"/>
    <w:next w:val="1"/>
    <w:link w:val="23"/>
    <w:qFormat/>
    <w:uiPriority w:val="99"/>
    <w:pPr>
      <w:keepNext/>
      <w:keepLines/>
      <w:spacing w:before="280" w:after="80"/>
      <w:outlineLvl w:val="2"/>
    </w:pPr>
    <w:rPr>
      <w:b/>
      <w:bCs/>
    </w:rPr>
  </w:style>
  <w:style w:type="paragraph" w:styleId="5">
    <w:name w:val="heading 4"/>
    <w:basedOn w:val="1"/>
    <w:next w:val="1"/>
    <w:link w:val="24"/>
    <w:qFormat/>
    <w:uiPriority w:val="99"/>
    <w:pPr>
      <w:keepNext/>
      <w:keepLines/>
      <w:spacing w:before="240" w:after="40"/>
      <w:outlineLvl w:val="3"/>
    </w:pPr>
    <w:rPr>
      <w:b/>
      <w:bCs/>
      <w:sz w:val="24"/>
      <w:szCs w:val="24"/>
    </w:rPr>
  </w:style>
  <w:style w:type="paragraph" w:styleId="6">
    <w:name w:val="heading 5"/>
    <w:basedOn w:val="1"/>
    <w:next w:val="1"/>
    <w:link w:val="25"/>
    <w:qFormat/>
    <w:uiPriority w:val="99"/>
    <w:pPr>
      <w:keepNext/>
      <w:keepLines/>
      <w:spacing w:before="220" w:after="40"/>
      <w:outlineLvl w:val="4"/>
    </w:pPr>
    <w:rPr>
      <w:b/>
      <w:bCs/>
      <w:sz w:val="22"/>
      <w:szCs w:val="22"/>
    </w:rPr>
  </w:style>
  <w:style w:type="paragraph" w:styleId="7">
    <w:name w:val="heading 6"/>
    <w:basedOn w:val="1"/>
    <w:next w:val="1"/>
    <w:link w:val="26"/>
    <w:qFormat/>
    <w:uiPriority w:val="99"/>
    <w:pPr>
      <w:keepNext/>
      <w:keepLines/>
      <w:spacing w:before="200" w:after="40"/>
      <w:outlineLvl w:val="5"/>
    </w:pPr>
    <w:rPr>
      <w:b/>
      <w:bCs/>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7"/>
    <w:semiHidden/>
    <w:qFormat/>
    <w:uiPriority w:val="99"/>
    <w:rPr>
      <w:rFonts w:ascii="Tahoma" w:hAnsi="Tahoma" w:cs="Tahoma"/>
      <w:sz w:val="16"/>
      <w:szCs w:val="16"/>
    </w:rPr>
  </w:style>
  <w:style w:type="paragraph" w:styleId="11">
    <w:name w:val="Body Text Indent"/>
    <w:basedOn w:val="1"/>
    <w:link w:val="30"/>
    <w:qFormat/>
    <w:uiPriority w:val="99"/>
    <w:pPr>
      <w:ind w:firstLine="720"/>
    </w:pPr>
    <w:rPr>
      <w:rFonts w:ascii=".VnTime" w:hAnsi=".VnTime" w:cs=".VnTime"/>
    </w:rPr>
  </w:style>
  <w:style w:type="paragraph" w:styleId="12">
    <w:name w:val="footer"/>
    <w:basedOn w:val="1"/>
    <w:link w:val="33"/>
    <w:qFormat/>
    <w:uiPriority w:val="99"/>
    <w:pPr>
      <w:tabs>
        <w:tab w:val="center" w:pos="4320"/>
        <w:tab w:val="right" w:pos="8640"/>
      </w:tabs>
    </w:pPr>
  </w:style>
  <w:style w:type="paragraph" w:styleId="13">
    <w:name w:val="header"/>
    <w:basedOn w:val="1"/>
    <w:link w:val="32"/>
    <w:qFormat/>
    <w:uiPriority w:val="99"/>
    <w:pPr>
      <w:tabs>
        <w:tab w:val="center" w:pos="4320"/>
        <w:tab w:val="right" w:pos="8640"/>
      </w:tabs>
    </w:pPr>
  </w:style>
  <w:style w:type="character" w:styleId="14">
    <w:name w:val="line number"/>
    <w:basedOn w:val="8"/>
    <w:semiHidden/>
    <w:unhideWhenUsed/>
    <w:qFormat/>
    <w:uiPriority w:val="99"/>
  </w:style>
  <w:style w:type="paragraph" w:styleId="15">
    <w:name w:val="Normal (Web)"/>
    <w:basedOn w:val="1"/>
    <w:qFormat/>
    <w:uiPriority w:val="99"/>
    <w:pPr>
      <w:spacing w:before="100" w:beforeAutospacing="1" w:after="100" w:afterAutospacing="1"/>
    </w:pPr>
    <w:rPr>
      <w:sz w:val="24"/>
      <w:szCs w:val="24"/>
    </w:rPr>
  </w:style>
  <w:style w:type="character" w:styleId="16">
    <w:name w:val="page number"/>
    <w:basedOn w:val="8"/>
    <w:qFormat/>
    <w:uiPriority w:val="99"/>
  </w:style>
  <w:style w:type="character" w:styleId="17">
    <w:name w:val="Strong"/>
    <w:qFormat/>
    <w:uiPriority w:val="99"/>
    <w:rPr>
      <w:b/>
      <w:bCs/>
    </w:rPr>
  </w:style>
  <w:style w:type="paragraph" w:styleId="18">
    <w:name w:val="Subtitle"/>
    <w:basedOn w:val="1"/>
    <w:next w:val="1"/>
    <w:link w:val="39"/>
    <w:qFormat/>
    <w:uiPriority w:val="99"/>
    <w:pPr>
      <w:keepNext/>
      <w:keepLines/>
      <w:spacing w:before="360" w:after="80"/>
    </w:pPr>
    <w:rPr>
      <w:rFonts w:ascii="Georgia" w:hAnsi="Georgia" w:cs="Georgia"/>
      <w:i/>
      <w:iCs/>
      <w:color w:val="666666"/>
      <w:sz w:val="48"/>
      <w:szCs w:val="48"/>
    </w:rPr>
  </w:style>
  <w:style w:type="table" w:styleId="19">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27"/>
    <w:qFormat/>
    <w:uiPriority w:val="99"/>
    <w:pPr>
      <w:keepNext/>
      <w:keepLines/>
      <w:spacing w:before="480" w:after="120"/>
    </w:pPr>
    <w:rPr>
      <w:b/>
      <w:bCs/>
      <w:sz w:val="72"/>
      <w:szCs w:val="72"/>
    </w:rPr>
  </w:style>
  <w:style w:type="character" w:customStyle="1" w:styleId="21">
    <w:name w:val="Heading 1 Char"/>
    <w:link w:val="2"/>
    <w:qFormat/>
    <w:uiPriority w:val="9"/>
    <w:rPr>
      <w:rFonts w:ascii="Cambria" w:hAnsi="Cambria" w:eastAsia="Times New Roman" w:cs="Times New Roman"/>
      <w:b/>
      <w:bCs/>
      <w:kern w:val="32"/>
      <w:sz w:val="32"/>
      <w:szCs w:val="32"/>
    </w:rPr>
  </w:style>
  <w:style w:type="character" w:customStyle="1" w:styleId="22">
    <w:name w:val="Heading 2 Char"/>
    <w:link w:val="3"/>
    <w:semiHidden/>
    <w:qFormat/>
    <w:uiPriority w:val="9"/>
    <w:rPr>
      <w:rFonts w:ascii="Cambria" w:hAnsi="Cambria" w:eastAsia="Times New Roman" w:cs="Times New Roman"/>
      <w:b/>
      <w:bCs/>
      <w:i/>
      <w:iCs/>
      <w:sz w:val="28"/>
      <w:szCs w:val="28"/>
    </w:rPr>
  </w:style>
  <w:style w:type="character" w:customStyle="1" w:styleId="23">
    <w:name w:val="Heading 3 Char"/>
    <w:link w:val="4"/>
    <w:semiHidden/>
    <w:qFormat/>
    <w:uiPriority w:val="9"/>
    <w:rPr>
      <w:rFonts w:ascii="Cambria" w:hAnsi="Cambria" w:eastAsia="Times New Roman" w:cs="Times New Roman"/>
      <w:b/>
      <w:bCs/>
      <w:sz w:val="26"/>
      <w:szCs w:val="26"/>
    </w:rPr>
  </w:style>
  <w:style w:type="character" w:customStyle="1" w:styleId="24">
    <w:name w:val="Heading 4 Char"/>
    <w:link w:val="5"/>
    <w:semiHidden/>
    <w:qFormat/>
    <w:uiPriority w:val="9"/>
    <w:rPr>
      <w:rFonts w:ascii="Calibri" w:hAnsi="Calibri" w:eastAsia="Times New Roman" w:cs="Times New Roman"/>
      <w:b/>
      <w:bCs/>
      <w:sz w:val="28"/>
      <w:szCs w:val="28"/>
    </w:rPr>
  </w:style>
  <w:style w:type="character" w:customStyle="1" w:styleId="25">
    <w:name w:val="Heading 5 Char"/>
    <w:link w:val="6"/>
    <w:semiHidden/>
    <w:qFormat/>
    <w:uiPriority w:val="9"/>
    <w:rPr>
      <w:rFonts w:ascii="Calibri" w:hAnsi="Calibri" w:eastAsia="Times New Roman" w:cs="Times New Roman"/>
      <w:b/>
      <w:bCs/>
      <w:i/>
      <w:iCs/>
      <w:sz w:val="26"/>
      <w:szCs w:val="26"/>
    </w:rPr>
  </w:style>
  <w:style w:type="character" w:customStyle="1" w:styleId="26">
    <w:name w:val="Heading 6 Char"/>
    <w:link w:val="7"/>
    <w:semiHidden/>
    <w:qFormat/>
    <w:uiPriority w:val="9"/>
    <w:rPr>
      <w:rFonts w:ascii="Calibri" w:hAnsi="Calibri" w:eastAsia="Times New Roman" w:cs="Times New Roman"/>
      <w:b/>
      <w:bCs/>
    </w:rPr>
  </w:style>
  <w:style w:type="character" w:customStyle="1" w:styleId="27">
    <w:name w:val="Title Char"/>
    <w:link w:val="20"/>
    <w:qFormat/>
    <w:uiPriority w:val="10"/>
    <w:rPr>
      <w:rFonts w:ascii="Cambria" w:hAnsi="Cambria" w:eastAsia="Times New Roman" w:cs="Times New Roman"/>
      <w:b/>
      <w:bCs/>
      <w:kern w:val="28"/>
      <w:sz w:val="32"/>
      <w:szCs w:val="32"/>
    </w:rPr>
  </w:style>
  <w:style w:type="paragraph" w:customStyle="1" w:styleId="28">
    <w:name w:val="Default Paragraph Font Para Char Char Char Char Char"/>
    <w:autoRedefine/>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9">
    <w:name w:val="Char"/>
    <w:basedOn w:val="1"/>
    <w:qFormat/>
    <w:uiPriority w:val="99"/>
    <w:pPr>
      <w:spacing w:after="160" w:line="240" w:lineRule="exact"/>
    </w:pPr>
    <w:rPr>
      <w:rFonts w:ascii="Verdana" w:hAnsi="Verdana" w:cs="Verdana"/>
      <w:i/>
      <w:iCs/>
      <w:sz w:val="20"/>
      <w:szCs w:val="20"/>
    </w:rPr>
  </w:style>
  <w:style w:type="character" w:customStyle="1" w:styleId="30">
    <w:name w:val="Body Text Indent Char"/>
    <w:link w:val="11"/>
    <w:semiHidden/>
    <w:qFormat/>
    <w:uiPriority w:val="99"/>
    <w:rPr>
      <w:sz w:val="28"/>
      <w:szCs w:val="28"/>
    </w:rPr>
  </w:style>
  <w:style w:type="paragraph" w:customStyle="1" w:styleId="31">
    <w:name w:val="Char Char Char Char Char Char Char"/>
    <w:basedOn w:val="1"/>
    <w:semiHidden/>
    <w:qFormat/>
    <w:uiPriority w:val="99"/>
    <w:pPr>
      <w:spacing w:after="160" w:line="240" w:lineRule="exact"/>
    </w:pPr>
    <w:rPr>
      <w:rFonts w:ascii="Arial" w:hAnsi="Arial" w:cs="Arial"/>
      <w:sz w:val="22"/>
      <w:szCs w:val="22"/>
    </w:rPr>
  </w:style>
  <w:style w:type="character" w:customStyle="1" w:styleId="32">
    <w:name w:val="Header Char"/>
    <w:link w:val="13"/>
    <w:qFormat/>
    <w:locked/>
    <w:uiPriority w:val="99"/>
    <w:rPr>
      <w:lang w:val="en-US"/>
    </w:rPr>
  </w:style>
  <w:style w:type="character" w:customStyle="1" w:styleId="33">
    <w:name w:val="Footer Char"/>
    <w:link w:val="12"/>
    <w:qFormat/>
    <w:locked/>
    <w:uiPriority w:val="99"/>
    <w:rPr>
      <w:sz w:val="28"/>
      <w:szCs w:val="28"/>
      <w:lang w:eastAsia="en-US"/>
    </w:rPr>
  </w:style>
  <w:style w:type="paragraph" w:customStyle="1" w:styleId="34">
    <w:name w:val="Char Char Char Char"/>
    <w:basedOn w:val="1"/>
    <w:next w:val="1"/>
    <w:autoRedefine/>
    <w:semiHidden/>
    <w:qFormat/>
    <w:uiPriority w:val="99"/>
    <w:pPr>
      <w:spacing w:before="120" w:after="120" w:line="312" w:lineRule="auto"/>
    </w:pPr>
  </w:style>
  <w:style w:type="paragraph" w:customStyle="1" w:styleId="35">
    <w:name w:val="Char Char Char Char Char Char Char1"/>
    <w:basedOn w:val="1"/>
    <w:semiHidden/>
    <w:qFormat/>
    <w:uiPriority w:val="99"/>
    <w:pPr>
      <w:spacing w:after="160" w:line="240" w:lineRule="exact"/>
    </w:pPr>
    <w:rPr>
      <w:rFonts w:ascii="Arial" w:hAnsi="Arial" w:cs="Arial"/>
      <w:sz w:val="22"/>
      <w:szCs w:val="22"/>
    </w:rPr>
  </w:style>
  <w:style w:type="paragraph" w:customStyle="1" w:styleId="36">
    <w:name w:val="Char1"/>
    <w:basedOn w:val="1"/>
    <w:qFormat/>
    <w:uiPriority w:val="99"/>
    <w:pPr>
      <w:spacing w:after="160" w:line="240" w:lineRule="exact"/>
    </w:pPr>
    <w:rPr>
      <w:rFonts w:ascii="Verdana" w:hAnsi="Verdana" w:cs="Verdana"/>
      <w:i/>
      <w:iCs/>
      <w:sz w:val="20"/>
      <w:szCs w:val="20"/>
    </w:rPr>
  </w:style>
  <w:style w:type="character" w:customStyle="1" w:styleId="37">
    <w:name w:val="Balloon Text Char"/>
    <w:link w:val="10"/>
    <w:qFormat/>
    <w:locked/>
    <w:uiPriority w:val="99"/>
    <w:rPr>
      <w:rFonts w:ascii="Tahoma" w:hAnsi="Tahoma" w:cs="Tahoma"/>
      <w:sz w:val="16"/>
      <w:szCs w:val="16"/>
      <w:lang w:eastAsia="en-US"/>
    </w:rPr>
  </w:style>
  <w:style w:type="paragraph" w:styleId="38">
    <w:name w:val="List Paragraph"/>
    <w:basedOn w:val="1"/>
    <w:qFormat/>
    <w:uiPriority w:val="34"/>
    <w:pPr>
      <w:ind w:left="720"/>
    </w:pPr>
  </w:style>
  <w:style w:type="character" w:customStyle="1" w:styleId="39">
    <w:name w:val="Subtitle Char"/>
    <w:link w:val="18"/>
    <w:qFormat/>
    <w:uiPriority w:val="11"/>
    <w:rPr>
      <w:rFonts w:ascii="Cambria" w:hAnsi="Cambria" w:eastAsia="Times New Roman" w:cs="Times New Roman"/>
      <w:sz w:val="24"/>
      <w:szCs w:val="24"/>
    </w:rPr>
  </w:style>
  <w:style w:type="table" w:customStyle="1" w:styleId="40">
    <w:name w:val="Style"/>
    <w:qFormat/>
    <w:uiPriority w:val="99"/>
    <w:tblPr>
      <w:tblCellMar>
        <w:top w:w="0" w:type="dxa"/>
        <w:left w:w="115" w:type="dxa"/>
        <w:bottom w:w="0" w:type="dxa"/>
        <w:right w:w="115" w:type="dxa"/>
      </w:tblCellMar>
    </w:tblPr>
  </w:style>
  <w:style w:type="table" w:customStyle="1" w:styleId="41">
    <w:name w:val="Style10"/>
    <w:qFormat/>
    <w:uiPriority w:val="99"/>
    <w:tblPr>
      <w:tblCellMar>
        <w:top w:w="0" w:type="dxa"/>
        <w:left w:w="115" w:type="dxa"/>
        <w:bottom w:w="0" w:type="dxa"/>
        <w:right w:w="115" w:type="dxa"/>
      </w:tblCellMar>
    </w:tblPr>
  </w:style>
  <w:style w:type="table" w:customStyle="1" w:styleId="42">
    <w:name w:val="Style9"/>
    <w:qFormat/>
    <w:uiPriority w:val="99"/>
    <w:tblPr>
      <w:tblCellMar>
        <w:top w:w="0" w:type="dxa"/>
        <w:left w:w="115" w:type="dxa"/>
        <w:bottom w:w="0" w:type="dxa"/>
        <w:right w:w="115" w:type="dxa"/>
      </w:tblCellMar>
    </w:tblPr>
  </w:style>
  <w:style w:type="table" w:customStyle="1" w:styleId="43">
    <w:name w:val="Style8"/>
    <w:qFormat/>
    <w:uiPriority w:val="99"/>
    <w:tblPr>
      <w:tblCellMar>
        <w:top w:w="0" w:type="dxa"/>
        <w:left w:w="115" w:type="dxa"/>
        <w:bottom w:w="0" w:type="dxa"/>
        <w:right w:w="115" w:type="dxa"/>
      </w:tblCellMar>
    </w:tblPr>
  </w:style>
  <w:style w:type="table" w:customStyle="1" w:styleId="44">
    <w:name w:val="Style7"/>
    <w:qFormat/>
    <w:uiPriority w:val="99"/>
    <w:tblPr>
      <w:tblCellMar>
        <w:top w:w="0" w:type="dxa"/>
        <w:left w:w="115" w:type="dxa"/>
        <w:bottom w:w="0" w:type="dxa"/>
        <w:right w:w="115" w:type="dxa"/>
      </w:tblCellMar>
    </w:tblPr>
  </w:style>
  <w:style w:type="table" w:customStyle="1" w:styleId="45">
    <w:name w:val="Style6"/>
    <w:qFormat/>
    <w:uiPriority w:val="99"/>
    <w:tblPr>
      <w:tblCellMar>
        <w:top w:w="0" w:type="dxa"/>
        <w:left w:w="115" w:type="dxa"/>
        <w:bottom w:w="0" w:type="dxa"/>
        <w:right w:w="115" w:type="dxa"/>
      </w:tblCellMar>
    </w:tblPr>
  </w:style>
  <w:style w:type="table" w:customStyle="1" w:styleId="46">
    <w:name w:val="Style5"/>
    <w:qFormat/>
    <w:uiPriority w:val="99"/>
    <w:tblPr>
      <w:tblCellMar>
        <w:top w:w="0" w:type="dxa"/>
        <w:left w:w="115" w:type="dxa"/>
        <w:bottom w:w="0" w:type="dxa"/>
        <w:right w:w="115" w:type="dxa"/>
      </w:tblCellMar>
    </w:tblPr>
  </w:style>
  <w:style w:type="table" w:customStyle="1" w:styleId="47">
    <w:name w:val="Style4"/>
    <w:qFormat/>
    <w:uiPriority w:val="99"/>
    <w:tblPr>
      <w:tblCellMar>
        <w:top w:w="0" w:type="dxa"/>
        <w:left w:w="115" w:type="dxa"/>
        <w:bottom w:w="0" w:type="dxa"/>
        <w:right w:w="115" w:type="dxa"/>
      </w:tblCellMar>
    </w:tblPr>
  </w:style>
  <w:style w:type="table" w:customStyle="1" w:styleId="48">
    <w:name w:val="Style3"/>
    <w:qFormat/>
    <w:uiPriority w:val="99"/>
    <w:tblPr>
      <w:tblCellMar>
        <w:top w:w="0" w:type="dxa"/>
        <w:left w:w="115" w:type="dxa"/>
        <w:bottom w:w="0" w:type="dxa"/>
        <w:right w:w="115" w:type="dxa"/>
      </w:tblCellMar>
    </w:tblPr>
  </w:style>
  <w:style w:type="table" w:customStyle="1" w:styleId="49">
    <w:name w:val="Style2"/>
    <w:qFormat/>
    <w:uiPriority w:val="99"/>
    <w:tblPr>
      <w:tblCellMar>
        <w:top w:w="0" w:type="dxa"/>
        <w:left w:w="115" w:type="dxa"/>
        <w:bottom w:w="0" w:type="dxa"/>
        <w:right w:w="115" w:type="dxa"/>
      </w:tblCellMar>
    </w:tblPr>
  </w:style>
  <w:style w:type="table" w:customStyle="1" w:styleId="50">
    <w:name w:val="Style1"/>
    <w:qFormat/>
    <w:uiPriority w:val="99"/>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10BF3-0342-4A19-A621-56D0F39E9088}">
  <ds:schemaRefs/>
</ds:datastoreItem>
</file>

<file path=docProps/app.xml><?xml version="1.0" encoding="utf-8"?>
<Properties xmlns="http://schemas.openxmlformats.org/officeDocument/2006/extended-properties" xmlns:vt="http://schemas.openxmlformats.org/officeDocument/2006/docPropsVTypes">
  <Template>Normal</Template>
  <Company>&lt;arabianhorse&gt;</Company>
  <Pages>23</Pages>
  <Words>6521</Words>
  <Characters>37171</Characters>
  <Lines>309</Lines>
  <Paragraphs>87</Paragraphs>
  <TotalTime>75</TotalTime>
  <ScaleCrop>false</ScaleCrop>
  <LinksUpToDate>false</LinksUpToDate>
  <CharactersWithSpaces>43605</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2023-02-13T01:31:00Z</dcterms:created>
  <dc:creator>AMCOMPUTER</dc:creator>
  <cp:lastModifiedBy>Admin</cp:lastModifiedBy>
  <cp:lastPrinted>2024-08-27T00:52:00Z</cp:lastPrinted>
  <dcterms:modified xsi:type="dcterms:W3CDTF">2025-01-20T08:47:33Z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B5ABA7002DE1479E92975488474F49E6_12</vt:lpwstr>
  </property>
</Properties>
</file>